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5B1D" w:rsidRDefault="00FB5B1D" w14:paraId="7B107DD3" w14:textId="470D7F34"/>
    <w:p w:rsidRPr="00DC3EB7" w:rsidR="00DC3EB7" w:rsidP="00DC3EB7" w:rsidRDefault="00DC3EB7" w14:paraId="6BD5B84B" w14:textId="0A7F1961">
      <w:pPr>
        <w:jc w:val="center"/>
        <w:rPr>
          <w:rFonts w:ascii="Arial" w:hAnsi="Arial" w:cs="Arial"/>
          <w:b/>
          <w:bCs/>
          <w:sz w:val="28"/>
          <w:szCs w:val="28"/>
        </w:rPr>
      </w:pPr>
      <w:r>
        <w:rPr>
          <w:rFonts w:ascii="Arial" w:hAnsi="Arial" w:cs="Arial"/>
          <w:b/>
          <w:bCs/>
          <w:sz w:val="28"/>
          <w:szCs w:val="28"/>
        </w:rPr>
        <w:t xml:space="preserve">TERMS OF REFERENCE – </w:t>
      </w:r>
      <w:r w:rsidR="00AA3CE7">
        <w:rPr>
          <w:rFonts w:ascii="Arial" w:hAnsi="Arial" w:cs="Arial"/>
          <w:b/>
          <w:bCs/>
          <w:sz w:val="28"/>
          <w:szCs w:val="28"/>
        </w:rPr>
        <w:t>AUDIT COMMITTEE</w:t>
      </w:r>
    </w:p>
    <w:p w:rsidR="00DC3EB7" w:rsidRDefault="00DC3EB7" w14:paraId="43FF3839" w14:textId="311CB07C"/>
    <w:p w:rsidRPr="00660C5D" w:rsidR="00DC3EB7" w:rsidP="3DEA68EE" w:rsidRDefault="00DC3EB7" w14:paraId="389C0390" w14:textId="1B2D3A0F">
      <w:pPr>
        <w:widowControl w:val="1"/>
        <w:autoSpaceDE/>
        <w:autoSpaceDN/>
        <w:spacing w:before="246" w:after="120" w:line="228" w:lineRule="auto"/>
        <w:ind/>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3DEA68EE" w:rsidR="4020CBDD">
        <w:rPr>
          <w:rFonts w:ascii="Arial" w:hAnsi="Arial" w:eastAsia="Arial" w:cs="Arial"/>
          <w:b w:val="0"/>
          <w:bCs w:val="0"/>
          <w:i w:val="0"/>
          <w:iCs w:val="0"/>
          <w:caps w:val="0"/>
          <w:smallCaps w:val="0"/>
          <w:noProof w:val="0"/>
          <w:color w:val="000000" w:themeColor="text1" w:themeTint="FF" w:themeShade="FF"/>
          <w:sz w:val="24"/>
          <w:szCs w:val="24"/>
          <w:lang w:val="en-GB"/>
        </w:rPr>
        <w:t xml:space="preserve">These updated Terms of Reference were approved by the Corporation on </w:t>
      </w:r>
      <w:r w:rsidRPr="3DEA68EE" w:rsidR="4020CBDD">
        <w:rPr>
          <w:rFonts w:ascii="Arial" w:hAnsi="Arial" w:eastAsia="Arial" w:cs="Arial"/>
          <w:b w:val="1"/>
          <w:bCs w:val="1"/>
          <w:i w:val="0"/>
          <w:iCs w:val="0"/>
          <w:caps w:val="0"/>
          <w:smallCaps w:val="0"/>
          <w:noProof w:val="0"/>
          <w:color w:val="000000" w:themeColor="text1" w:themeTint="FF" w:themeShade="FF"/>
          <w:sz w:val="24"/>
          <w:szCs w:val="24"/>
          <w:lang w:val="en-GB"/>
        </w:rPr>
        <w:t>19</w:t>
      </w:r>
      <w:r w:rsidRPr="3DEA68EE" w:rsidR="4020CBDD">
        <w:rPr>
          <w:rFonts w:ascii="Arial" w:hAnsi="Arial" w:eastAsia="Arial" w:cs="Arial"/>
          <w:b w:val="1"/>
          <w:bCs w:val="1"/>
          <w:i w:val="0"/>
          <w:iCs w:val="0"/>
          <w:caps w:val="0"/>
          <w:smallCaps w:val="0"/>
          <w:noProof w:val="0"/>
          <w:sz w:val="24"/>
          <w:szCs w:val="24"/>
          <w:lang w:val="en-GB"/>
        </w:rPr>
        <w:t xml:space="preserve"> November 2025</w:t>
      </w:r>
      <w:r w:rsidRPr="3DEA68EE" w:rsidR="4020CBDD">
        <w:rPr>
          <w:rFonts w:ascii="Arial" w:hAnsi="Arial" w:eastAsia="Arial" w:cs="Arial"/>
          <w:b w:val="0"/>
          <w:bCs w:val="0"/>
          <w:i w:val="0"/>
          <w:iCs w:val="0"/>
          <w:caps w:val="0"/>
          <w:smallCaps w:val="0"/>
          <w:noProof w:val="0"/>
          <w:color w:val="000000" w:themeColor="text1" w:themeTint="FF" w:themeShade="FF"/>
          <w:sz w:val="24"/>
          <w:szCs w:val="24"/>
          <w:lang w:val="en-GB"/>
        </w:rPr>
        <w:t>.</w:t>
      </w:r>
    </w:p>
    <w:p w:rsidRPr="00660C5D" w:rsidR="00DC3EB7" w:rsidP="00DC3EB7" w:rsidRDefault="00DC3EB7" w14:paraId="0D9B0D9D" w14:textId="03D2A143">
      <w:pPr>
        <w:widowControl w:val="1"/>
        <w:autoSpaceDE/>
        <w:autoSpaceDN/>
        <w:spacing w:before="246" w:after="120" w:line="232" w:lineRule="auto"/>
        <w:ind w:right="851"/>
        <w:jc w:val="both"/>
        <w:rPr>
          <w:rFonts w:ascii="Arial" w:hAnsi="Arial" w:eastAsia="Times New Roman" w:cs="Arial"/>
          <w:sz w:val="24"/>
          <w:szCs w:val="24"/>
          <w:lang w:val="en-GB" w:eastAsia="en-GB"/>
        </w:rPr>
      </w:pPr>
    </w:p>
    <w:p w:rsidRPr="00660C5D" w:rsidR="00EF5CA5" w:rsidP="00EF5CA5" w:rsidRDefault="00EF5CA5" w14:paraId="07EBB1C6" w14:textId="77777777">
      <w:pPr>
        <w:widowControl/>
        <w:autoSpaceDE/>
        <w:autoSpaceDN/>
        <w:ind w:right="851"/>
        <w:jc w:val="both"/>
        <w:rPr>
          <w:rFonts w:ascii="Arial" w:hAnsi="Arial" w:eastAsia="Times New Roman" w:cs="Arial"/>
          <w:sz w:val="24"/>
          <w:szCs w:val="24"/>
          <w:lang w:val="en-GB"/>
        </w:rPr>
      </w:pPr>
    </w:p>
    <w:p w:rsidRPr="00660C5D" w:rsidR="00EF5CA5" w:rsidP="00EF5CA5" w:rsidRDefault="00EF5CA5" w14:paraId="780FA566" w14:textId="77777777">
      <w:pPr>
        <w:widowControl/>
        <w:numPr>
          <w:ilvl w:val="0"/>
          <w:numId w:val="4"/>
        </w:numPr>
        <w:autoSpaceDE/>
        <w:autoSpaceDN/>
        <w:ind w:right="851"/>
        <w:contextualSpacing/>
        <w:jc w:val="both"/>
        <w:rPr>
          <w:rFonts w:ascii="Arial" w:hAnsi="Arial" w:eastAsia="Times New Roman" w:cs="Arial"/>
          <w:sz w:val="24"/>
          <w:szCs w:val="24"/>
          <w:lang w:val="en-GB"/>
        </w:rPr>
      </w:pPr>
      <w:r w:rsidRPr="00660C5D">
        <w:rPr>
          <w:rFonts w:ascii="Arial" w:hAnsi="Arial" w:eastAsia="Times New Roman" w:cs="Arial"/>
          <w:sz w:val="24"/>
          <w:szCs w:val="24"/>
          <w:lang w:val="en-GB"/>
        </w:rPr>
        <w:t>To Meet at least once in every term.</w:t>
      </w:r>
      <w:r w:rsidRPr="00660C5D">
        <w:rPr>
          <w:rFonts w:ascii="Arial" w:hAnsi="Arial" w:eastAsia="Times New Roman" w:cs="Arial"/>
          <w:w w:val="110"/>
          <w:sz w:val="24"/>
          <w:szCs w:val="24"/>
          <w:lang w:val="en-GB"/>
        </w:rPr>
        <w:t xml:space="preserve"> </w:t>
      </w:r>
      <w:r w:rsidRPr="00660C5D">
        <w:rPr>
          <w:rFonts w:ascii="Arial" w:hAnsi="Arial" w:eastAsia="Times New Roman" w:cs="Arial"/>
          <w:sz w:val="24"/>
          <w:szCs w:val="24"/>
          <w:lang w:val="en-GB"/>
        </w:rPr>
        <w:t>Additional meetings may be called as necessary in agreement with the Chair.</w:t>
      </w:r>
    </w:p>
    <w:p w:rsidRPr="00660C5D" w:rsidR="00EF5CA5" w:rsidP="00EF5CA5" w:rsidRDefault="00EF5CA5" w14:paraId="0B491F8C" w14:textId="77777777">
      <w:pPr>
        <w:widowControl/>
        <w:autoSpaceDE/>
        <w:autoSpaceDN/>
        <w:ind w:left="1440" w:right="851"/>
        <w:contextualSpacing/>
        <w:jc w:val="both"/>
        <w:rPr>
          <w:rFonts w:ascii="Arial" w:hAnsi="Arial" w:eastAsia="Times New Roman" w:cs="Arial"/>
          <w:sz w:val="24"/>
          <w:szCs w:val="24"/>
          <w:lang w:val="en-GB"/>
        </w:rPr>
      </w:pPr>
    </w:p>
    <w:p w:rsidRPr="00660C5D" w:rsidR="00EF5CA5" w:rsidP="00EF5CA5" w:rsidRDefault="00EF5CA5" w14:paraId="0F4C05DE" w14:textId="77777777">
      <w:pPr>
        <w:widowControl/>
        <w:numPr>
          <w:ilvl w:val="0"/>
          <w:numId w:val="4"/>
        </w:numPr>
        <w:autoSpaceDE/>
        <w:autoSpaceDN/>
        <w:ind w:right="851"/>
        <w:contextualSpacing/>
        <w:jc w:val="both"/>
        <w:rPr>
          <w:rFonts w:ascii="Arial" w:hAnsi="Arial" w:eastAsia="Times New Roman" w:cs="Arial"/>
          <w:strike/>
          <w:sz w:val="24"/>
          <w:szCs w:val="24"/>
          <w:lang w:val="en-GB"/>
        </w:rPr>
      </w:pPr>
      <w:r w:rsidRPr="00660C5D">
        <w:rPr>
          <w:rFonts w:ascii="Arial" w:hAnsi="Arial" w:eastAsia="Times New Roman" w:cs="Arial"/>
          <w:sz w:val="24"/>
          <w:szCs w:val="24"/>
          <w:lang w:val="en-GB"/>
        </w:rPr>
        <w:t xml:space="preserve">In accordance with Association of </w:t>
      </w:r>
      <w:r>
        <w:rPr>
          <w:rFonts w:ascii="Arial" w:hAnsi="Arial" w:eastAsia="Times New Roman" w:cs="Arial"/>
          <w:sz w:val="24"/>
          <w:szCs w:val="24"/>
          <w:lang w:val="en-GB"/>
        </w:rPr>
        <w:t>Group</w:t>
      </w:r>
      <w:r w:rsidRPr="00660C5D">
        <w:rPr>
          <w:rFonts w:ascii="Arial" w:hAnsi="Arial" w:eastAsia="Times New Roman" w:cs="Arial"/>
          <w:sz w:val="24"/>
          <w:szCs w:val="24"/>
          <w:lang w:val="en-GB"/>
        </w:rPr>
        <w:t>s Circular 4/03 the Committee has agreed to comply with any request to call a special meeting from the internal auditor or external auditor</w:t>
      </w:r>
      <w:r w:rsidRPr="00660C5D">
        <w:rPr>
          <w:rFonts w:ascii="Arial" w:hAnsi="Arial" w:eastAsia="Times New Roman" w:cs="Arial"/>
          <w:strike/>
          <w:sz w:val="24"/>
          <w:szCs w:val="24"/>
          <w:lang w:val="en-GB"/>
        </w:rPr>
        <w:t>.</w:t>
      </w:r>
    </w:p>
    <w:p w:rsidRPr="00660C5D" w:rsidR="00EF5CA5" w:rsidP="00EF5CA5" w:rsidRDefault="00EF5CA5" w14:paraId="7289DE7A" w14:textId="77777777">
      <w:pPr>
        <w:widowControl/>
        <w:autoSpaceDE/>
        <w:autoSpaceDN/>
        <w:ind w:right="851"/>
        <w:jc w:val="both"/>
        <w:rPr>
          <w:rFonts w:ascii="Arial" w:hAnsi="Arial" w:eastAsia="Times New Roman" w:cs="Arial"/>
          <w:strike/>
          <w:sz w:val="24"/>
          <w:szCs w:val="24"/>
          <w:lang w:val="en-GB"/>
        </w:rPr>
      </w:pPr>
    </w:p>
    <w:p w:rsidRPr="00660C5D" w:rsidR="00EF5CA5" w:rsidP="00EF5CA5" w:rsidRDefault="00EF5CA5" w14:paraId="2E28DD71" w14:textId="77777777">
      <w:pPr>
        <w:widowControl/>
        <w:numPr>
          <w:ilvl w:val="0"/>
          <w:numId w:val="4"/>
        </w:numPr>
        <w:autoSpaceDE/>
        <w:autoSpaceDN/>
        <w:ind w:right="851"/>
        <w:contextualSpacing/>
        <w:jc w:val="both"/>
        <w:rPr>
          <w:rFonts w:ascii="Arial" w:hAnsi="Arial" w:eastAsia="Times New Roman" w:cs="Arial"/>
          <w:sz w:val="24"/>
          <w:szCs w:val="24"/>
          <w:lang w:val="en-GB"/>
        </w:rPr>
      </w:pPr>
      <w:r w:rsidRPr="00660C5D">
        <w:rPr>
          <w:rFonts w:ascii="Arial" w:hAnsi="Arial" w:eastAsia="Times New Roman" w:cs="Arial"/>
          <w:sz w:val="24"/>
          <w:szCs w:val="24"/>
          <w:lang w:val="en-GB"/>
        </w:rPr>
        <w:t>The Committee’s terms of reference are as follows –</w:t>
      </w:r>
    </w:p>
    <w:p w:rsidRPr="00660C5D" w:rsidR="00EF5CA5" w:rsidP="00EF5CA5" w:rsidRDefault="00EF5CA5" w14:paraId="70C3F9E9" w14:textId="77777777">
      <w:pPr>
        <w:widowControl/>
        <w:autoSpaceDE/>
        <w:autoSpaceDN/>
        <w:ind w:right="851"/>
        <w:jc w:val="both"/>
        <w:rPr>
          <w:rFonts w:ascii="Arial" w:hAnsi="Arial" w:eastAsia="Times New Roman" w:cs="Arial"/>
          <w:sz w:val="24"/>
          <w:szCs w:val="24"/>
          <w:lang w:val="en-GB"/>
        </w:rPr>
      </w:pPr>
    </w:p>
    <w:p w:rsidRPr="00660C5D" w:rsidR="00EF5CA5" w:rsidP="00EF5CA5" w:rsidRDefault="00EF5CA5" w14:paraId="295752E3" w14:textId="77777777">
      <w:pPr>
        <w:widowControl/>
        <w:numPr>
          <w:ilvl w:val="0"/>
          <w:numId w:val="4"/>
        </w:numPr>
        <w:autoSpaceDE/>
        <w:autoSpaceDN/>
        <w:ind w:right="851"/>
        <w:contextualSpacing/>
        <w:jc w:val="both"/>
        <w:rPr>
          <w:rFonts w:ascii="Arial" w:hAnsi="Arial" w:eastAsia="Times New Roman" w:cs="Arial"/>
          <w:sz w:val="24"/>
          <w:szCs w:val="24"/>
          <w:lang w:val="en-GB"/>
        </w:rPr>
      </w:pPr>
      <w:r w:rsidRPr="00660C5D">
        <w:rPr>
          <w:rFonts w:ascii="Arial" w:hAnsi="Arial" w:eastAsia="Times New Roman" w:cs="Arial"/>
          <w:sz w:val="24"/>
          <w:szCs w:val="24"/>
          <w:lang w:val="en-GB"/>
        </w:rPr>
        <w:t xml:space="preserve">To advise on the adequacy and effectiveness of the </w:t>
      </w:r>
      <w:r>
        <w:rPr>
          <w:rFonts w:ascii="Arial" w:hAnsi="Arial" w:eastAsia="Times New Roman" w:cs="Arial"/>
          <w:sz w:val="24"/>
          <w:szCs w:val="24"/>
          <w:lang w:val="en-GB"/>
        </w:rPr>
        <w:t>Group</w:t>
      </w:r>
      <w:r w:rsidRPr="00660C5D">
        <w:rPr>
          <w:rFonts w:ascii="Arial" w:hAnsi="Arial" w:eastAsia="Times New Roman" w:cs="Arial"/>
          <w:sz w:val="24"/>
          <w:szCs w:val="24"/>
          <w:lang w:val="en-GB"/>
        </w:rPr>
        <w:t>’s systems of internal control; arrangements for risk management; control and governance processes; and securing economy, efficiency and effectiveness.</w:t>
      </w:r>
    </w:p>
    <w:p w:rsidRPr="00660C5D" w:rsidR="00EF5CA5" w:rsidP="00EF5CA5" w:rsidRDefault="00EF5CA5" w14:paraId="16139008" w14:textId="77777777">
      <w:pPr>
        <w:widowControl/>
        <w:autoSpaceDE/>
        <w:autoSpaceDN/>
        <w:ind w:right="851" w:hanging="720"/>
        <w:jc w:val="both"/>
        <w:rPr>
          <w:rFonts w:ascii="Arial" w:hAnsi="Arial" w:eastAsia="Times New Roman" w:cs="Arial"/>
          <w:sz w:val="24"/>
          <w:szCs w:val="24"/>
          <w:lang w:val="en-GB"/>
        </w:rPr>
      </w:pPr>
    </w:p>
    <w:p w:rsidRPr="00660C5D" w:rsidR="00EF5CA5" w:rsidP="00EF5CA5" w:rsidRDefault="00EF5CA5" w14:paraId="078933EA" w14:textId="77777777">
      <w:pPr>
        <w:widowControl/>
        <w:numPr>
          <w:ilvl w:val="0"/>
          <w:numId w:val="4"/>
        </w:numPr>
        <w:autoSpaceDE/>
        <w:autoSpaceDN/>
        <w:ind w:right="851"/>
        <w:contextualSpacing/>
        <w:jc w:val="both"/>
        <w:rPr>
          <w:rFonts w:ascii="Arial" w:hAnsi="Arial" w:eastAsia="Times New Roman" w:cs="Arial"/>
          <w:sz w:val="24"/>
          <w:szCs w:val="24"/>
          <w:lang w:val="en-GB"/>
        </w:rPr>
      </w:pPr>
      <w:r w:rsidRPr="00660C5D">
        <w:rPr>
          <w:rFonts w:ascii="Arial" w:hAnsi="Arial" w:eastAsia="Times New Roman" w:cs="Arial"/>
          <w:sz w:val="24"/>
          <w:szCs w:val="24"/>
          <w:lang w:val="en-GB"/>
        </w:rPr>
        <w:t>To advise on the appointment, reappointment, dismissal and remuneration of the external auditor and the Internal Audit Service (IAS)</w:t>
      </w:r>
    </w:p>
    <w:p w:rsidRPr="00660C5D" w:rsidR="00EF5CA5" w:rsidP="00EF5CA5" w:rsidRDefault="00EF5CA5" w14:paraId="3599438B" w14:textId="77777777">
      <w:pPr>
        <w:widowControl/>
        <w:autoSpaceDE/>
        <w:autoSpaceDN/>
        <w:ind w:right="851" w:hanging="720"/>
        <w:jc w:val="both"/>
        <w:rPr>
          <w:rFonts w:ascii="Arial" w:hAnsi="Arial" w:eastAsia="Times New Roman" w:cs="Arial"/>
          <w:sz w:val="24"/>
          <w:szCs w:val="24"/>
          <w:lang w:val="en-GB"/>
        </w:rPr>
      </w:pPr>
    </w:p>
    <w:p w:rsidRPr="00660C5D" w:rsidR="00EF5CA5" w:rsidP="00EF5CA5" w:rsidRDefault="00EF5CA5" w14:paraId="53C0F36D" w14:textId="77777777">
      <w:pPr>
        <w:widowControl/>
        <w:numPr>
          <w:ilvl w:val="0"/>
          <w:numId w:val="4"/>
        </w:numPr>
        <w:autoSpaceDE/>
        <w:autoSpaceDN/>
        <w:ind w:right="851"/>
        <w:contextualSpacing/>
        <w:jc w:val="both"/>
        <w:rPr>
          <w:rFonts w:ascii="Arial" w:hAnsi="Arial" w:eastAsia="Times New Roman" w:cs="Arial"/>
          <w:sz w:val="24"/>
          <w:szCs w:val="24"/>
          <w:lang w:val="en-GB"/>
        </w:rPr>
      </w:pPr>
      <w:r w:rsidRPr="00660C5D">
        <w:rPr>
          <w:rFonts w:ascii="Arial" w:hAnsi="Arial" w:eastAsia="Times New Roman" w:cs="Arial"/>
          <w:sz w:val="24"/>
          <w:szCs w:val="24"/>
          <w:lang w:val="en-GB"/>
        </w:rPr>
        <w:t>To advise on the scope and objectives of the work of the IAS and external auditor.</w:t>
      </w:r>
    </w:p>
    <w:p w:rsidRPr="00660C5D" w:rsidR="00EF5CA5" w:rsidP="00EF5CA5" w:rsidRDefault="00EF5CA5" w14:paraId="2C4784D3" w14:textId="77777777">
      <w:pPr>
        <w:widowControl/>
        <w:autoSpaceDE/>
        <w:autoSpaceDN/>
        <w:ind w:right="851" w:hanging="720"/>
        <w:jc w:val="both"/>
        <w:rPr>
          <w:rFonts w:ascii="Arial" w:hAnsi="Arial" w:eastAsia="Times New Roman" w:cs="Arial"/>
          <w:sz w:val="24"/>
          <w:szCs w:val="24"/>
          <w:lang w:val="en-GB"/>
        </w:rPr>
      </w:pPr>
    </w:p>
    <w:p w:rsidRPr="00660C5D" w:rsidR="00EF5CA5" w:rsidP="00EF5CA5" w:rsidRDefault="00EF5CA5" w14:paraId="4EBF5F87" w14:textId="77777777">
      <w:pPr>
        <w:widowControl/>
        <w:numPr>
          <w:ilvl w:val="0"/>
          <w:numId w:val="4"/>
        </w:numPr>
        <w:autoSpaceDE/>
        <w:autoSpaceDN/>
        <w:ind w:right="851"/>
        <w:contextualSpacing/>
        <w:jc w:val="both"/>
        <w:rPr>
          <w:rFonts w:ascii="Arial" w:hAnsi="Arial" w:eastAsia="Times New Roman" w:cs="Arial"/>
          <w:sz w:val="24"/>
          <w:szCs w:val="24"/>
          <w:lang w:val="en-GB"/>
        </w:rPr>
      </w:pPr>
      <w:r w:rsidRPr="00660C5D">
        <w:rPr>
          <w:rFonts w:ascii="Arial" w:hAnsi="Arial" w:eastAsia="Times New Roman" w:cs="Arial"/>
          <w:sz w:val="24"/>
          <w:szCs w:val="24"/>
          <w:lang w:val="en-GB"/>
        </w:rPr>
        <w:t>To ensure effective co-ordination between the IAS</w:t>
      </w:r>
      <w:r w:rsidRPr="00660C5D">
        <w:rPr>
          <w:rFonts w:ascii="Arial" w:hAnsi="Arial" w:eastAsia="Times New Roman" w:cs="Arial"/>
          <w:strike/>
          <w:sz w:val="24"/>
          <w:szCs w:val="24"/>
          <w:lang w:val="en-GB"/>
        </w:rPr>
        <w:t xml:space="preserve"> </w:t>
      </w:r>
      <w:r w:rsidRPr="00660C5D">
        <w:rPr>
          <w:rFonts w:ascii="Arial" w:hAnsi="Arial" w:eastAsia="Times New Roman" w:cs="Arial"/>
          <w:sz w:val="24"/>
          <w:szCs w:val="24"/>
          <w:lang w:val="en-GB"/>
        </w:rPr>
        <w:t>and external auditor including whether the work of the external auditor should be relied upon for internal audit purposes</w:t>
      </w:r>
    </w:p>
    <w:p w:rsidRPr="00660C5D" w:rsidR="00EF5CA5" w:rsidP="00EF5CA5" w:rsidRDefault="00EF5CA5" w14:paraId="1EC0A5D2" w14:textId="77777777">
      <w:pPr>
        <w:widowControl/>
        <w:autoSpaceDE/>
        <w:autoSpaceDN/>
        <w:ind w:right="851" w:hanging="720"/>
        <w:jc w:val="both"/>
        <w:rPr>
          <w:rFonts w:ascii="Arial" w:hAnsi="Arial" w:eastAsia="Times New Roman" w:cs="Arial"/>
          <w:sz w:val="24"/>
          <w:szCs w:val="24"/>
          <w:lang w:val="en-GB"/>
        </w:rPr>
      </w:pPr>
    </w:p>
    <w:p w:rsidRPr="00660C5D" w:rsidR="00EF5CA5" w:rsidP="00EF5CA5" w:rsidRDefault="00EF5CA5" w14:paraId="5FA632B8" w14:textId="77777777">
      <w:pPr>
        <w:widowControl/>
        <w:numPr>
          <w:ilvl w:val="0"/>
          <w:numId w:val="4"/>
        </w:numPr>
        <w:autoSpaceDE/>
        <w:autoSpaceDN/>
        <w:ind w:right="851"/>
        <w:contextualSpacing/>
        <w:jc w:val="both"/>
        <w:rPr>
          <w:rFonts w:ascii="Arial" w:hAnsi="Arial" w:eastAsia="Times New Roman" w:cs="Arial"/>
          <w:sz w:val="24"/>
          <w:szCs w:val="24"/>
          <w:lang w:val="en-GB"/>
        </w:rPr>
      </w:pPr>
      <w:r w:rsidRPr="00660C5D">
        <w:rPr>
          <w:rFonts w:ascii="Arial" w:hAnsi="Arial" w:eastAsia="Times New Roman" w:cs="Arial"/>
          <w:sz w:val="24"/>
          <w:szCs w:val="24"/>
          <w:lang w:val="en-GB"/>
        </w:rPr>
        <w:t>To consider and advise on the audit strategy and annual internal audit plans of the IAS</w:t>
      </w:r>
    </w:p>
    <w:p w:rsidRPr="00660C5D" w:rsidR="00EF5CA5" w:rsidP="00EF5CA5" w:rsidRDefault="00EF5CA5" w14:paraId="05F496FD" w14:textId="77777777">
      <w:pPr>
        <w:widowControl/>
        <w:autoSpaceDE/>
        <w:autoSpaceDN/>
        <w:ind w:right="851" w:hanging="720"/>
        <w:jc w:val="both"/>
        <w:rPr>
          <w:rFonts w:ascii="Arial" w:hAnsi="Arial" w:eastAsia="Times New Roman" w:cs="Arial"/>
          <w:sz w:val="24"/>
          <w:szCs w:val="24"/>
          <w:lang w:val="en-GB"/>
        </w:rPr>
      </w:pPr>
    </w:p>
    <w:p w:rsidRPr="00660C5D" w:rsidR="00EF5CA5" w:rsidP="00EF5CA5" w:rsidRDefault="00EF5CA5" w14:paraId="135108BB" w14:textId="77777777">
      <w:pPr>
        <w:widowControl/>
        <w:numPr>
          <w:ilvl w:val="0"/>
          <w:numId w:val="4"/>
        </w:numPr>
        <w:autoSpaceDE/>
        <w:autoSpaceDN/>
        <w:ind w:right="851"/>
        <w:contextualSpacing/>
        <w:jc w:val="both"/>
        <w:rPr>
          <w:rFonts w:ascii="Arial" w:hAnsi="Arial" w:eastAsia="Times New Roman" w:cs="Arial"/>
          <w:sz w:val="24"/>
          <w:szCs w:val="24"/>
          <w:lang w:val="en-GB"/>
        </w:rPr>
      </w:pPr>
      <w:r w:rsidRPr="00660C5D">
        <w:rPr>
          <w:rFonts w:ascii="Arial" w:hAnsi="Arial" w:eastAsia="Times New Roman" w:cs="Arial"/>
          <w:sz w:val="24"/>
          <w:szCs w:val="24"/>
          <w:lang w:val="en-GB"/>
        </w:rPr>
        <w:t>To advise on internal audit assignment reports and annual reports and on control issues included in the management letters of the external auditor, and management’s responses to these.</w:t>
      </w:r>
    </w:p>
    <w:p w:rsidRPr="00660C5D" w:rsidR="00EF5CA5" w:rsidP="00EF5CA5" w:rsidRDefault="00EF5CA5" w14:paraId="26C8B6D7" w14:textId="77777777">
      <w:pPr>
        <w:widowControl/>
        <w:autoSpaceDE/>
        <w:autoSpaceDN/>
        <w:ind w:right="851" w:hanging="720"/>
        <w:jc w:val="both"/>
        <w:rPr>
          <w:rFonts w:ascii="Arial" w:hAnsi="Arial" w:eastAsia="Times New Roman" w:cs="Arial"/>
          <w:sz w:val="24"/>
          <w:szCs w:val="24"/>
          <w:lang w:val="en-GB"/>
        </w:rPr>
      </w:pPr>
    </w:p>
    <w:p w:rsidRPr="00660C5D" w:rsidR="00EF5CA5" w:rsidP="00EF5CA5" w:rsidRDefault="00EF5CA5" w14:paraId="7D1B25D3" w14:textId="77777777">
      <w:pPr>
        <w:widowControl/>
        <w:numPr>
          <w:ilvl w:val="0"/>
          <w:numId w:val="4"/>
        </w:numPr>
        <w:autoSpaceDE/>
        <w:autoSpaceDN/>
        <w:ind w:right="851"/>
        <w:contextualSpacing/>
        <w:jc w:val="both"/>
        <w:rPr>
          <w:rFonts w:ascii="Arial" w:hAnsi="Arial" w:eastAsia="Times New Roman" w:cs="Arial"/>
          <w:sz w:val="24"/>
          <w:szCs w:val="24"/>
          <w:lang w:val="en-GB"/>
        </w:rPr>
      </w:pPr>
      <w:r w:rsidRPr="00660C5D">
        <w:rPr>
          <w:rFonts w:ascii="Arial" w:hAnsi="Arial" w:eastAsia="Times New Roman" w:cs="Arial"/>
          <w:sz w:val="24"/>
          <w:szCs w:val="24"/>
          <w:lang w:val="en-GB"/>
        </w:rPr>
        <w:t>To monitor within an agreed timescale the implementation of agreed recommendations relating to internal audit assignment reports, internal audit annual reports, the external auditor’s management letter and spot check reports on the external auditor’s management letter.</w:t>
      </w:r>
    </w:p>
    <w:p w:rsidRPr="00660C5D" w:rsidR="00EF5CA5" w:rsidP="00EF5CA5" w:rsidRDefault="00EF5CA5" w14:paraId="15871A0C" w14:textId="77777777">
      <w:pPr>
        <w:widowControl/>
        <w:autoSpaceDE/>
        <w:autoSpaceDN/>
        <w:ind w:right="851" w:hanging="720"/>
        <w:jc w:val="both"/>
        <w:rPr>
          <w:rFonts w:ascii="Arial" w:hAnsi="Arial" w:eastAsia="Times New Roman" w:cs="Arial"/>
          <w:sz w:val="24"/>
          <w:szCs w:val="24"/>
          <w:lang w:val="en-GB"/>
        </w:rPr>
      </w:pPr>
    </w:p>
    <w:p w:rsidRPr="00660C5D" w:rsidR="00EF5CA5" w:rsidP="00EF5CA5" w:rsidRDefault="00EF5CA5" w14:paraId="7AFF04B7" w14:textId="77777777">
      <w:pPr>
        <w:widowControl/>
        <w:numPr>
          <w:ilvl w:val="0"/>
          <w:numId w:val="4"/>
        </w:numPr>
        <w:autoSpaceDE/>
        <w:autoSpaceDN/>
        <w:ind w:right="851"/>
        <w:contextualSpacing/>
        <w:jc w:val="both"/>
        <w:rPr>
          <w:rFonts w:ascii="Arial" w:hAnsi="Arial" w:eastAsia="Times New Roman" w:cs="Arial"/>
          <w:sz w:val="24"/>
          <w:szCs w:val="24"/>
          <w:lang w:val="en-GB"/>
        </w:rPr>
      </w:pPr>
      <w:r w:rsidRPr="00660C5D">
        <w:rPr>
          <w:rFonts w:ascii="Arial" w:hAnsi="Arial" w:eastAsia="Times New Roman" w:cs="Arial"/>
          <w:sz w:val="24"/>
          <w:szCs w:val="24"/>
          <w:lang w:val="en-GB"/>
        </w:rPr>
        <w:lastRenderedPageBreak/>
        <w:t>To consider and advise on relevant reports by the relevant funding and regulatory bodies, the other funding bodies and where appropriate management’s response to these.</w:t>
      </w:r>
    </w:p>
    <w:p w:rsidRPr="00660C5D" w:rsidR="00EF5CA5" w:rsidP="00EF5CA5" w:rsidRDefault="00EF5CA5" w14:paraId="2464CFD3" w14:textId="77777777">
      <w:pPr>
        <w:widowControl/>
        <w:autoSpaceDE/>
        <w:autoSpaceDN/>
        <w:ind w:right="851" w:hanging="720"/>
        <w:jc w:val="both"/>
        <w:rPr>
          <w:rFonts w:ascii="Arial" w:hAnsi="Arial" w:eastAsia="Times New Roman" w:cs="Arial"/>
          <w:sz w:val="24"/>
          <w:szCs w:val="24"/>
          <w:lang w:val="en-GB"/>
        </w:rPr>
      </w:pPr>
    </w:p>
    <w:p w:rsidRPr="00660C5D" w:rsidR="00EF5CA5" w:rsidP="00EF5CA5" w:rsidRDefault="00EF5CA5" w14:paraId="4A85A87E" w14:textId="77777777">
      <w:pPr>
        <w:widowControl/>
        <w:numPr>
          <w:ilvl w:val="0"/>
          <w:numId w:val="4"/>
        </w:numPr>
        <w:autoSpaceDE/>
        <w:autoSpaceDN/>
        <w:ind w:right="851"/>
        <w:contextualSpacing/>
        <w:jc w:val="both"/>
        <w:rPr>
          <w:rFonts w:ascii="Arial" w:hAnsi="Arial" w:eastAsia="Times New Roman" w:cs="Arial"/>
          <w:sz w:val="24"/>
          <w:szCs w:val="24"/>
          <w:lang w:val="en-GB"/>
        </w:rPr>
      </w:pPr>
      <w:r w:rsidRPr="00660C5D">
        <w:rPr>
          <w:rFonts w:ascii="Arial" w:hAnsi="Arial" w:eastAsia="Times New Roman" w:cs="Arial"/>
          <w:sz w:val="24"/>
          <w:szCs w:val="24"/>
          <w:lang w:val="en-GB"/>
        </w:rPr>
        <w:t xml:space="preserve">To establish in conjunction with </w:t>
      </w:r>
      <w:r>
        <w:rPr>
          <w:rFonts w:ascii="Arial" w:hAnsi="Arial" w:eastAsia="Times New Roman" w:cs="Arial"/>
          <w:sz w:val="24"/>
          <w:szCs w:val="24"/>
          <w:lang w:val="en-GB"/>
        </w:rPr>
        <w:t>Group</w:t>
      </w:r>
      <w:r w:rsidRPr="00660C5D">
        <w:rPr>
          <w:rFonts w:ascii="Arial" w:hAnsi="Arial" w:eastAsia="Times New Roman" w:cs="Arial"/>
          <w:sz w:val="24"/>
          <w:szCs w:val="24"/>
          <w:lang w:val="en-GB"/>
        </w:rPr>
        <w:t xml:space="preserve"> management, relevant annual performance measures and indicators, and to monitor the effectiveness of the IAS and external auditor through these measures and indicators and decide, based on this review, whether a competition for price and quality of the audit service is appropriate.</w:t>
      </w:r>
    </w:p>
    <w:p w:rsidRPr="00660C5D" w:rsidR="00EF5CA5" w:rsidP="00EF5CA5" w:rsidRDefault="00EF5CA5" w14:paraId="049DD79F" w14:textId="77777777">
      <w:pPr>
        <w:widowControl/>
        <w:autoSpaceDE/>
        <w:autoSpaceDN/>
        <w:ind w:right="851" w:hanging="720"/>
        <w:jc w:val="both"/>
        <w:rPr>
          <w:rFonts w:ascii="Arial" w:hAnsi="Arial" w:eastAsia="Times New Roman" w:cs="Arial"/>
          <w:sz w:val="24"/>
          <w:szCs w:val="24"/>
          <w:lang w:val="en-GB"/>
        </w:rPr>
      </w:pPr>
    </w:p>
    <w:p w:rsidRPr="00660C5D" w:rsidR="00EF5CA5" w:rsidP="00EF5CA5" w:rsidRDefault="00EF5CA5" w14:paraId="3665AD2E" w14:textId="77777777">
      <w:pPr>
        <w:widowControl/>
        <w:numPr>
          <w:ilvl w:val="0"/>
          <w:numId w:val="4"/>
        </w:numPr>
        <w:autoSpaceDE/>
        <w:autoSpaceDN/>
        <w:ind w:right="851"/>
        <w:contextualSpacing/>
        <w:jc w:val="both"/>
        <w:rPr>
          <w:rFonts w:ascii="Arial" w:hAnsi="Arial" w:eastAsia="Times New Roman" w:cs="Arial"/>
          <w:sz w:val="24"/>
          <w:szCs w:val="24"/>
          <w:lang w:val="en-GB"/>
        </w:rPr>
      </w:pPr>
      <w:r w:rsidRPr="00660C5D">
        <w:rPr>
          <w:rFonts w:ascii="Arial" w:hAnsi="Arial" w:eastAsia="Times New Roman" w:cs="Arial"/>
          <w:sz w:val="24"/>
          <w:szCs w:val="24"/>
          <w:lang w:val="en-GB"/>
        </w:rPr>
        <w:t xml:space="preserve">To produce an annual report for the corporation and accounting officer, which should include the committee’s advice on the effectiveness of the </w:t>
      </w:r>
      <w:r>
        <w:rPr>
          <w:rFonts w:ascii="Arial" w:hAnsi="Arial" w:eastAsia="Times New Roman" w:cs="Arial"/>
          <w:sz w:val="24"/>
          <w:szCs w:val="24"/>
          <w:lang w:val="en-GB"/>
        </w:rPr>
        <w:t>Group</w:t>
      </w:r>
      <w:r w:rsidRPr="00660C5D">
        <w:rPr>
          <w:rFonts w:ascii="Arial" w:hAnsi="Arial" w:eastAsia="Times New Roman" w:cs="Arial"/>
          <w:sz w:val="24"/>
          <w:szCs w:val="24"/>
          <w:lang w:val="en-GB"/>
        </w:rPr>
        <w:t>’s risk management, control and governance processes, and any significant other matters arising from the work of the IAS and the external auditor,</w:t>
      </w:r>
    </w:p>
    <w:p w:rsidRPr="00660C5D" w:rsidR="00EF5CA5" w:rsidP="00EF5CA5" w:rsidRDefault="00EF5CA5" w14:paraId="75B17CF3" w14:textId="77777777">
      <w:pPr>
        <w:widowControl/>
        <w:autoSpaceDE/>
        <w:autoSpaceDN/>
        <w:ind w:right="851" w:hanging="720"/>
        <w:jc w:val="both"/>
        <w:rPr>
          <w:rFonts w:ascii="Arial" w:hAnsi="Arial" w:eastAsia="Times New Roman" w:cs="Arial"/>
          <w:sz w:val="24"/>
          <w:szCs w:val="24"/>
          <w:lang w:val="en-GB"/>
        </w:rPr>
      </w:pPr>
    </w:p>
    <w:p w:rsidRPr="00660C5D" w:rsidR="00EF5CA5" w:rsidP="00EF5CA5" w:rsidRDefault="00EF5CA5" w14:paraId="35135BCE" w14:textId="77777777">
      <w:pPr>
        <w:widowControl/>
        <w:numPr>
          <w:ilvl w:val="0"/>
          <w:numId w:val="4"/>
        </w:numPr>
        <w:autoSpaceDE/>
        <w:autoSpaceDN/>
        <w:ind w:right="851"/>
        <w:contextualSpacing/>
        <w:jc w:val="both"/>
        <w:rPr>
          <w:rFonts w:ascii="Arial" w:hAnsi="Arial" w:eastAsia="Times New Roman" w:cs="Arial"/>
          <w:sz w:val="24"/>
          <w:szCs w:val="24"/>
          <w:lang w:val="en-GB"/>
        </w:rPr>
      </w:pPr>
      <w:r w:rsidRPr="00660C5D">
        <w:rPr>
          <w:rFonts w:ascii="Arial" w:hAnsi="Arial" w:eastAsia="Times New Roman" w:cs="Arial"/>
          <w:sz w:val="24"/>
          <w:szCs w:val="24"/>
          <w:lang w:val="en-GB"/>
        </w:rPr>
        <w:t>To ensure that all allegations of fraud and irregularity are properly followed up.</w:t>
      </w:r>
    </w:p>
    <w:p w:rsidRPr="00660C5D" w:rsidR="00EF5CA5" w:rsidP="00EF5CA5" w:rsidRDefault="00EF5CA5" w14:paraId="42B5CC78" w14:textId="77777777">
      <w:pPr>
        <w:widowControl/>
        <w:autoSpaceDE/>
        <w:autoSpaceDN/>
        <w:ind w:right="851" w:hanging="720"/>
        <w:jc w:val="both"/>
        <w:rPr>
          <w:rFonts w:ascii="Arial" w:hAnsi="Arial" w:eastAsia="Times New Roman" w:cs="Arial"/>
          <w:sz w:val="24"/>
          <w:szCs w:val="24"/>
          <w:lang w:val="en-GB"/>
        </w:rPr>
      </w:pPr>
    </w:p>
    <w:p w:rsidRPr="00660C5D" w:rsidR="00EF5CA5" w:rsidP="00EF5CA5" w:rsidRDefault="00EF5CA5" w14:paraId="5372013E" w14:textId="77777777">
      <w:pPr>
        <w:widowControl/>
        <w:numPr>
          <w:ilvl w:val="0"/>
          <w:numId w:val="4"/>
        </w:numPr>
        <w:autoSpaceDE/>
        <w:autoSpaceDN/>
        <w:ind w:right="851"/>
        <w:contextualSpacing/>
        <w:jc w:val="both"/>
        <w:rPr>
          <w:rFonts w:ascii="Arial" w:hAnsi="Arial" w:eastAsia="Times New Roman" w:cs="Arial"/>
          <w:sz w:val="24"/>
          <w:szCs w:val="24"/>
          <w:lang w:val="en-GB"/>
        </w:rPr>
      </w:pPr>
      <w:r w:rsidRPr="00660C5D">
        <w:rPr>
          <w:rFonts w:ascii="Arial" w:hAnsi="Arial" w:eastAsia="Times New Roman" w:cs="Arial"/>
          <w:sz w:val="24"/>
          <w:szCs w:val="24"/>
          <w:lang w:val="en-GB"/>
        </w:rPr>
        <w:t>To be informed of all additional services undertaken by the IAS and external auditors.</w:t>
      </w:r>
    </w:p>
    <w:p w:rsidRPr="00660C5D" w:rsidR="00EF5CA5" w:rsidP="00EF5CA5" w:rsidRDefault="00EF5CA5" w14:paraId="57A685B5" w14:textId="77777777">
      <w:pPr>
        <w:widowControl/>
        <w:autoSpaceDE/>
        <w:autoSpaceDN/>
        <w:ind w:left="720" w:right="851"/>
        <w:contextualSpacing/>
        <w:jc w:val="both"/>
        <w:rPr>
          <w:rFonts w:ascii="Arial" w:hAnsi="Arial" w:eastAsia="Times New Roman" w:cs="Arial"/>
          <w:sz w:val="24"/>
          <w:szCs w:val="24"/>
          <w:lang w:val="en-GB"/>
        </w:rPr>
      </w:pPr>
    </w:p>
    <w:p w:rsidRPr="00660C5D" w:rsidR="00EF5CA5" w:rsidP="00EF5CA5" w:rsidRDefault="00EF5CA5" w14:paraId="2A6456F5" w14:textId="77777777">
      <w:pPr>
        <w:widowControl/>
        <w:numPr>
          <w:ilvl w:val="0"/>
          <w:numId w:val="4"/>
        </w:numPr>
        <w:autoSpaceDE/>
        <w:autoSpaceDN/>
        <w:ind w:right="851"/>
        <w:contextualSpacing/>
        <w:jc w:val="both"/>
        <w:rPr>
          <w:rFonts w:ascii="Arial" w:hAnsi="Arial" w:eastAsia="Times New Roman" w:cs="Arial"/>
          <w:sz w:val="24"/>
          <w:szCs w:val="24"/>
          <w:lang w:val="en-GB"/>
        </w:rPr>
      </w:pPr>
      <w:r w:rsidRPr="00660C5D">
        <w:rPr>
          <w:rFonts w:ascii="Arial" w:hAnsi="Arial" w:eastAsia="Times New Roman" w:cs="Arial"/>
          <w:sz w:val="24"/>
          <w:szCs w:val="24"/>
          <w:lang w:val="en-GB"/>
        </w:rPr>
        <w:t>To monitor the Risk Register and advise the Board regarding risk matters.</w:t>
      </w:r>
    </w:p>
    <w:p w:rsidRPr="00660C5D" w:rsidR="00EF5CA5" w:rsidP="00EF5CA5" w:rsidRDefault="00EF5CA5" w14:paraId="6668C58D" w14:textId="77777777">
      <w:pPr>
        <w:widowControl/>
        <w:autoSpaceDE/>
        <w:autoSpaceDN/>
        <w:ind w:right="851"/>
        <w:jc w:val="both"/>
        <w:rPr>
          <w:rFonts w:ascii="Arial" w:hAnsi="Arial" w:eastAsia="Times New Roman" w:cs="Arial"/>
          <w:sz w:val="24"/>
          <w:szCs w:val="24"/>
          <w:lang w:val="en-GB"/>
        </w:rPr>
      </w:pPr>
    </w:p>
    <w:p w:rsidRPr="00660C5D" w:rsidR="00EF5CA5" w:rsidP="00EF5CA5" w:rsidRDefault="00EF5CA5" w14:paraId="5C6F962D" w14:textId="77777777">
      <w:pPr>
        <w:widowControl/>
        <w:autoSpaceDE/>
        <w:autoSpaceDN/>
        <w:ind w:right="851"/>
        <w:jc w:val="both"/>
        <w:rPr>
          <w:rFonts w:ascii="Arial" w:hAnsi="Arial" w:eastAsia="Times New Roman" w:cs="Arial"/>
          <w:sz w:val="24"/>
          <w:szCs w:val="24"/>
          <w:lang w:val="en-GB"/>
        </w:rPr>
      </w:pPr>
    </w:p>
    <w:p w:rsidRPr="00660C5D" w:rsidR="00EF5CA5" w:rsidP="3DEA68EE" w:rsidRDefault="00EF5CA5" w14:paraId="3FE12207" w14:textId="6B9D706A">
      <w:pPr>
        <w:widowControl w:val="1"/>
        <w:numPr>
          <w:ilvl w:val="0"/>
          <w:numId w:val="4"/>
        </w:numPr>
        <w:autoSpaceDE/>
        <w:autoSpaceDN/>
        <w:spacing/>
        <w:ind w:right="851"/>
        <w:contextualSpacing w:val="1"/>
        <w:jc w:val="both"/>
        <w:rPr>
          <w:rFonts w:ascii="Arial" w:hAnsi="Arial" w:eastAsia="Times New Roman" w:cs="Arial"/>
          <w:b w:val="1"/>
          <w:bCs w:val="1"/>
          <w:sz w:val="24"/>
          <w:szCs w:val="24"/>
          <w:lang w:val="en-GB"/>
        </w:rPr>
      </w:pPr>
      <w:r w:rsidRPr="3DEA68EE" w:rsidR="00EF5CA5">
        <w:rPr>
          <w:rFonts w:ascii="Arial" w:hAnsi="Arial" w:eastAsia="Times New Roman" w:cs="Arial"/>
          <w:b w:val="1"/>
          <w:bCs w:val="1"/>
          <w:sz w:val="24"/>
          <w:szCs w:val="24"/>
          <w:lang w:val="en-GB"/>
        </w:rPr>
        <w:t>Membership (</w:t>
      </w:r>
      <w:r w:rsidRPr="3DEA68EE" w:rsidR="32B21FC6">
        <w:rPr>
          <w:rFonts w:ascii="Arial" w:hAnsi="Arial" w:eastAsia="Times New Roman" w:cs="Arial"/>
          <w:b w:val="1"/>
          <w:bCs w:val="1"/>
          <w:sz w:val="24"/>
          <w:szCs w:val="24"/>
          <w:lang w:val="en-GB"/>
        </w:rPr>
        <w:t>3</w:t>
      </w:r>
      <w:r w:rsidRPr="3DEA68EE" w:rsidR="00EF5CA5">
        <w:rPr>
          <w:rFonts w:ascii="Arial" w:hAnsi="Arial" w:eastAsia="Times New Roman" w:cs="Arial"/>
          <w:b w:val="1"/>
          <w:bCs w:val="1"/>
          <w:sz w:val="24"/>
          <w:szCs w:val="24"/>
          <w:lang w:val="en-GB"/>
        </w:rPr>
        <w:t>- 5)</w:t>
      </w:r>
    </w:p>
    <w:p w:rsidRPr="00660C5D" w:rsidR="00EF5CA5" w:rsidP="00EF5CA5" w:rsidRDefault="00EF5CA5" w14:paraId="3AE32CAD" w14:textId="77777777">
      <w:pPr>
        <w:widowControl/>
        <w:autoSpaceDE/>
        <w:autoSpaceDN/>
        <w:ind w:right="851"/>
        <w:jc w:val="both"/>
        <w:rPr>
          <w:rFonts w:ascii="Arial" w:hAnsi="Arial" w:eastAsia="Times New Roman" w:cs="Arial"/>
          <w:sz w:val="24"/>
          <w:szCs w:val="24"/>
          <w:lang w:val="en-GB"/>
        </w:rPr>
      </w:pPr>
    </w:p>
    <w:p w:rsidRPr="00660C5D" w:rsidR="00EF5CA5" w:rsidP="00EF5CA5" w:rsidRDefault="00EF5CA5" w14:paraId="3835C349" w14:textId="07EA4E60">
      <w:pPr>
        <w:widowControl w:val="1"/>
        <w:autoSpaceDE/>
        <w:autoSpaceDN/>
        <w:ind w:left="1080" w:right="851"/>
        <w:jc w:val="both"/>
        <w:rPr>
          <w:rFonts w:ascii="Arial" w:hAnsi="Arial" w:eastAsia="Times New Roman" w:cs="Arial"/>
          <w:sz w:val="24"/>
          <w:szCs w:val="24"/>
          <w:lang w:val="en-GB"/>
        </w:rPr>
      </w:pPr>
      <w:r w:rsidRPr="3DEA68EE" w:rsidR="00EF5CA5">
        <w:rPr>
          <w:rFonts w:ascii="Arial" w:hAnsi="Arial" w:eastAsia="Times New Roman" w:cs="Arial"/>
          <w:sz w:val="24"/>
          <w:szCs w:val="24"/>
          <w:lang w:val="en-GB"/>
        </w:rPr>
        <w:t xml:space="preserve">Minimum of </w:t>
      </w:r>
      <w:r w:rsidRPr="3DEA68EE" w:rsidR="6D78A486">
        <w:rPr>
          <w:rFonts w:ascii="Arial" w:hAnsi="Arial" w:eastAsia="Times New Roman" w:cs="Arial"/>
          <w:sz w:val="24"/>
          <w:szCs w:val="24"/>
          <w:lang w:val="en-GB"/>
        </w:rPr>
        <w:t>3</w:t>
      </w:r>
      <w:r w:rsidRPr="3DEA68EE" w:rsidR="00EF5CA5">
        <w:rPr>
          <w:rFonts w:ascii="Arial" w:hAnsi="Arial" w:eastAsia="Times New Roman" w:cs="Arial"/>
          <w:sz w:val="24"/>
          <w:szCs w:val="24"/>
          <w:lang w:val="en-GB"/>
        </w:rPr>
        <w:t xml:space="preserve"> and maximum of 5 members of the Board other than the Chair and any member who has an executive role in the management of the </w:t>
      </w:r>
      <w:r w:rsidRPr="3DEA68EE" w:rsidR="00EF5CA5">
        <w:rPr>
          <w:rFonts w:ascii="Arial" w:hAnsi="Arial" w:eastAsia="Times New Roman" w:cs="Arial"/>
          <w:sz w:val="24"/>
          <w:szCs w:val="24"/>
          <w:lang w:val="en-GB"/>
        </w:rPr>
        <w:t>Group</w:t>
      </w:r>
      <w:r w:rsidRPr="3DEA68EE" w:rsidR="00EF5CA5">
        <w:rPr>
          <w:rFonts w:ascii="Arial" w:hAnsi="Arial" w:eastAsia="Times New Roman" w:cs="Arial"/>
          <w:sz w:val="24"/>
          <w:szCs w:val="24"/>
          <w:lang w:val="en-GB"/>
        </w:rPr>
        <w:t>.</w:t>
      </w:r>
    </w:p>
    <w:p w:rsidRPr="00660C5D" w:rsidR="00EF5CA5" w:rsidP="00EF5CA5" w:rsidRDefault="00EF5CA5" w14:paraId="0191AA94" w14:textId="77777777">
      <w:pPr>
        <w:widowControl/>
        <w:autoSpaceDE/>
        <w:autoSpaceDN/>
        <w:ind w:right="851"/>
        <w:jc w:val="both"/>
        <w:rPr>
          <w:rFonts w:ascii="Arial" w:hAnsi="Arial" w:eastAsia="Times New Roman" w:cs="Arial"/>
          <w:sz w:val="24"/>
          <w:szCs w:val="24"/>
          <w:lang w:val="en-GB"/>
        </w:rPr>
      </w:pPr>
    </w:p>
    <w:p w:rsidRPr="00660C5D" w:rsidR="00EF5CA5" w:rsidP="00EF5CA5" w:rsidRDefault="00EF5CA5" w14:paraId="4C49A830" w14:textId="77777777">
      <w:pPr>
        <w:widowControl/>
        <w:numPr>
          <w:ilvl w:val="0"/>
          <w:numId w:val="4"/>
        </w:numPr>
        <w:autoSpaceDE/>
        <w:autoSpaceDN/>
        <w:ind w:right="851"/>
        <w:contextualSpacing/>
        <w:jc w:val="both"/>
        <w:rPr>
          <w:rFonts w:ascii="Arial" w:hAnsi="Arial" w:eastAsia="Times New Roman" w:cs="Arial"/>
          <w:b/>
          <w:sz w:val="24"/>
          <w:szCs w:val="24"/>
          <w:lang w:val="en-GB"/>
        </w:rPr>
      </w:pPr>
      <w:r w:rsidRPr="00660C5D">
        <w:rPr>
          <w:rFonts w:ascii="Arial" w:hAnsi="Arial" w:eastAsia="Times New Roman" w:cs="Arial"/>
          <w:b/>
          <w:sz w:val="24"/>
          <w:szCs w:val="24"/>
          <w:lang w:val="en-GB"/>
        </w:rPr>
        <w:t>Quorum:</w:t>
      </w:r>
    </w:p>
    <w:p w:rsidRPr="00660C5D" w:rsidR="00EF5CA5" w:rsidP="00EF5CA5" w:rsidRDefault="00EF5CA5" w14:paraId="40C60AA9" w14:textId="77777777">
      <w:pPr>
        <w:widowControl/>
        <w:autoSpaceDE/>
        <w:autoSpaceDN/>
        <w:ind w:right="851"/>
        <w:jc w:val="both"/>
        <w:rPr>
          <w:rFonts w:ascii="Arial" w:hAnsi="Arial" w:eastAsia="Times New Roman" w:cs="Arial"/>
          <w:sz w:val="24"/>
          <w:szCs w:val="24"/>
          <w:lang w:val="en-GB"/>
        </w:rPr>
      </w:pPr>
    </w:p>
    <w:p w:rsidRPr="00660C5D" w:rsidR="00EF5CA5" w:rsidP="00EF5CA5" w:rsidRDefault="00EF5CA5" w14:paraId="0893D6CE" w14:textId="05C2703F">
      <w:pPr>
        <w:widowControl w:val="1"/>
        <w:autoSpaceDE/>
        <w:autoSpaceDN/>
        <w:ind w:left="360" w:right="851" w:firstLine="720"/>
        <w:jc w:val="both"/>
        <w:rPr>
          <w:rFonts w:ascii="Arial" w:hAnsi="Arial" w:eastAsia="Times New Roman" w:cs="Arial"/>
          <w:sz w:val="24"/>
          <w:szCs w:val="24"/>
          <w:lang w:val="en-GB"/>
        </w:rPr>
      </w:pPr>
      <w:r w:rsidRPr="1751E611" w:rsidR="00EF5CA5">
        <w:rPr>
          <w:rFonts w:ascii="Arial" w:hAnsi="Arial" w:eastAsia="Times New Roman" w:cs="Arial"/>
          <w:sz w:val="24"/>
          <w:szCs w:val="24"/>
          <w:lang w:val="en-GB"/>
        </w:rPr>
        <w:t>T</w:t>
      </w:r>
      <w:r w:rsidRPr="1751E611" w:rsidR="6AB96D28">
        <w:rPr>
          <w:rFonts w:ascii="Arial" w:hAnsi="Arial" w:eastAsia="Times New Roman" w:cs="Arial"/>
          <w:sz w:val="24"/>
          <w:szCs w:val="24"/>
          <w:lang w:val="en-GB"/>
        </w:rPr>
        <w:t>hree</w:t>
      </w:r>
      <w:r w:rsidRPr="1751E611" w:rsidR="00EF5CA5">
        <w:rPr>
          <w:rFonts w:ascii="Arial" w:hAnsi="Arial" w:eastAsia="Times New Roman" w:cs="Arial"/>
          <w:sz w:val="24"/>
          <w:szCs w:val="24"/>
          <w:lang w:val="en-GB"/>
        </w:rPr>
        <w:t xml:space="preserve"> members.</w:t>
      </w:r>
    </w:p>
    <w:p w:rsidRPr="00660C5D" w:rsidR="00EF5CA5" w:rsidP="00EF5CA5" w:rsidRDefault="00EF5CA5" w14:paraId="2AA45569" w14:textId="77777777">
      <w:pPr>
        <w:widowControl/>
        <w:autoSpaceDE/>
        <w:autoSpaceDN/>
        <w:ind w:right="851"/>
        <w:jc w:val="both"/>
        <w:rPr>
          <w:rFonts w:ascii="Arial" w:hAnsi="Arial" w:eastAsia="Times New Roman" w:cs="Arial"/>
          <w:sz w:val="24"/>
          <w:szCs w:val="24"/>
          <w:lang w:val="en-GB"/>
        </w:rPr>
      </w:pPr>
    </w:p>
    <w:p w:rsidRPr="00660C5D" w:rsidR="00EF5CA5" w:rsidP="00EF5CA5" w:rsidRDefault="00EF5CA5" w14:paraId="7D6D55F0" w14:textId="77777777">
      <w:pPr>
        <w:widowControl/>
        <w:numPr>
          <w:ilvl w:val="0"/>
          <w:numId w:val="4"/>
        </w:numPr>
        <w:autoSpaceDE/>
        <w:autoSpaceDN/>
        <w:ind w:right="851"/>
        <w:contextualSpacing/>
        <w:jc w:val="both"/>
        <w:rPr>
          <w:rFonts w:ascii="Arial" w:hAnsi="Arial" w:eastAsia="Times New Roman" w:cs="Arial"/>
          <w:b/>
          <w:sz w:val="24"/>
          <w:szCs w:val="24"/>
          <w:lang w:val="en-GB"/>
        </w:rPr>
      </w:pPr>
      <w:r w:rsidRPr="00660C5D">
        <w:rPr>
          <w:rFonts w:ascii="Arial" w:hAnsi="Arial" w:eastAsia="Times New Roman" w:cs="Arial"/>
          <w:b/>
          <w:sz w:val="24"/>
          <w:szCs w:val="24"/>
          <w:lang w:val="en-GB"/>
        </w:rPr>
        <w:t>Tenure</w:t>
      </w:r>
    </w:p>
    <w:p w:rsidRPr="00660C5D" w:rsidR="00EF5CA5" w:rsidP="00EF5CA5" w:rsidRDefault="00EF5CA5" w14:paraId="6686CC40" w14:textId="77777777">
      <w:pPr>
        <w:widowControl/>
        <w:autoSpaceDE/>
        <w:autoSpaceDN/>
        <w:ind w:right="851"/>
        <w:jc w:val="both"/>
        <w:rPr>
          <w:rFonts w:ascii="Arial" w:hAnsi="Arial" w:eastAsia="Times New Roman" w:cs="Arial"/>
          <w:sz w:val="24"/>
          <w:szCs w:val="24"/>
          <w:lang w:val="en-GB"/>
        </w:rPr>
      </w:pPr>
    </w:p>
    <w:p w:rsidRPr="00660C5D" w:rsidR="00EF5CA5" w:rsidP="00EF5CA5" w:rsidRDefault="00EF5CA5" w14:paraId="5C569B06" w14:textId="77777777">
      <w:pPr>
        <w:widowControl/>
        <w:autoSpaceDE/>
        <w:autoSpaceDN/>
        <w:ind w:left="1230" w:right="851"/>
        <w:jc w:val="both"/>
        <w:rPr>
          <w:rFonts w:ascii="Arial" w:hAnsi="Arial" w:eastAsia="Times New Roman" w:cs="Arial"/>
          <w:sz w:val="24"/>
          <w:szCs w:val="24"/>
          <w:lang w:val="en-GB"/>
        </w:rPr>
      </w:pPr>
      <w:r w:rsidRPr="00660C5D">
        <w:rPr>
          <w:rFonts w:ascii="Arial" w:hAnsi="Arial" w:eastAsia="Times New Roman" w:cs="Arial"/>
          <w:sz w:val="24"/>
          <w:szCs w:val="24"/>
          <w:lang w:val="en-GB"/>
        </w:rPr>
        <w:t>The term of role of Committee Chairs and Members to be four years or the end of their term of office as Governor. </w:t>
      </w:r>
    </w:p>
    <w:p w:rsidRPr="00660C5D" w:rsidR="00EF5CA5" w:rsidP="00EF5CA5" w:rsidRDefault="00EF5CA5" w14:paraId="018624FA" w14:textId="77777777">
      <w:pPr>
        <w:widowControl/>
        <w:autoSpaceDE/>
        <w:autoSpaceDN/>
        <w:ind w:left="1230" w:right="851"/>
        <w:jc w:val="both"/>
        <w:rPr>
          <w:rFonts w:ascii="Arial" w:hAnsi="Arial" w:eastAsia="Times New Roman" w:cs="Arial"/>
          <w:sz w:val="24"/>
          <w:szCs w:val="24"/>
          <w:lang w:val="en-GB"/>
        </w:rPr>
      </w:pPr>
    </w:p>
    <w:p w:rsidRPr="00660C5D" w:rsidR="00DC3EB7" w:rsidP="00DC3EB7" w:rsidRDefault="00DC3EB7" w14:paraId="1065F623" w14:textId="77777777">
      <w:pPr>
        <w:widowControl/>
        <w:autoSpaceDE/>
        <w:autoSpaceDN/>
        <w:ind w:right="851"/>
        <w:jc w:val="both"/>
        <w:rPr>
          <w:rFonts w:ascii="Arial" w:hAnsi="Arial" w:eastAsia="Times New Roman" w:cs="Arial"/>
          <w:sz w:val="24"/>
          <w:szCs w:val="24"/>
          <w:lang w:val="en-GB"/>
        </w:rPr>
      </w:pPr>
    </w:p>
    <w:sectPr w:rsidRPr="00660C5D" w:rsidR="00DC3EB7">
      <w:headerReference w:type="even" r:id="rId7"/>
      <w:headerReference w:type="default" r:id="rId8"/>
      <w:footerReference w:type="even" r:id="rId9"/>
      <w:footerReference w:type="default" r:id="rId10"/>
      <w:headerReference w:type="first" r:id="rId11"/>
      <w:footerReference w:type="firs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6B5E" w:rsidP="00DC3EB7" w:rsidRDefault="00DF6B5E" w14:paraId="465F8731" w14:textId="77777777">
      <w:r>
        <w:separator/>
      </w:r>
    </w:p>
  </w:endnote>
  <w:endnote w:type="continuationSeparator" w:id="0">
    <w:p w:rsidR="00DF6B5E" w:rsidP="00DC3EB7" w:rsidRDefault="00DF6B5E" w14:paraId="72E2E06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376F" w:rsidRDefault="00FD376F" w14:paraId="005D54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376F" w:rsidRDefault="00FD376F" w14:paraId="5934E5E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376F" w:rsidRDefault="00FD376F" w14:paraId="19C5140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6B5E" w:rsidP="00DC3EB7" w:rsidRDefault="00DF6B5E" w14:paraId="4DD81DA5" w14:textId="77777777">
      <w:r>
        <w:separator/>
      </w:r>
    </w:p>
  </w:footnote>
  <w:footnote w:type="continuationSeparator" w:id="0">
    <w:p w:rsidR="00DF6B5E" w:rsidP="00DC3EB7" w:rsidRDefault="00DF6B5E" w14:paraId="5A8178E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376F" w:rsidRDefault="00FD376F" w14:paraId="6F24173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2"/>
      <w:gridCol w:w="5506"/>
      <w:gridCol w:w="1508"/>
    </w:tblGrid>
    <w:tr w:rsidR="00DC3EB7" w:rsidTr="00FD376F" w14:paraId="741DAB05" w14:textId="77777777">
      <w:tc>
        <w:tcPr>
          <w:tcW w:w="2002" w:type="dxa"/>
        </w:tcPr>
        <w:p w:rsidR="00DC3EB7" w:rsidP="00DC3EB7" w:rsidRDefault="00FD376F" w14:paraId="6EFE071F" w14:textId="342C30FD">
          <w:pPr>
            <w:pStyle w:val="Header"/>
            <w:jc w:val="center"/>
            <w:rPr>
              <w:rFonts w:ascii="Arial" w:hAnsi="Arial" w:cs="Arial"/>
              <w:sz w:val="28"/>
              <w:szCs w:val="28"/>
            </w:rPr>
          </w:pPr>
          <w:r w:rsidRPr="00C84E32">
            <w:rPr>
              <w:noProof/>
            </w:rPr>
            <w:drawing>
              <wp:anchor distT="0" distB="0" distL="114300" distR="114300" simplePos="0" relativeHeight="251666432" behindDoc="0" locked="0" layoutInCell="1" allowOverlap="1" wp14:anchorId="36D808CB" wp14:editId="7C0E8746">
                <wp:simplePos x="0" y="0"/>
                <wp:positionH relativeFrom="margin">
                  <wp:posOffset>-65405</wp:posOffset>
                </wp:positionH>
                <wp:positionV relativeFrom="paragraph">
                  <wp:posOffset>0</wp:posOffset>
                </wp:positionV>
                <wp:extent cx="1134110" cy="599419"/>
                <wp:effectExtent l="0" t="0" r="0" b="0"/>
                <wp:wrapSquare wrapText="bothSides"/>
                <wp:docPr id="35" name="Picture 35" descr="C:\Users\katie.lisle\AppData\Local\Microsoft\Windows\Temporary Internet Files\Content.Outlook\K1F98KHA\SWD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lisle\AppData\Local\Microsoft\Windows\Temporary Internet Files\Content.Outlook\K1F98KHA\SWD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34110" cy="599419"/>
                        </a:xfrm>
                        <a:prstGeom prst="rect">
                          <a:avLst/>
                        </a:prstGeom>
                        <a:noFill/>
                        <a:ln>
                          <a:noFill/>
                        </a:ln>
                      </pic:spPr>
                    </pic:pic>
                  </a:graphicData>
                </a:graphic>
              </wp:anchor>
            </w:drawing>
          </w:r>
        </w:p>
      </w:tc>
      <w:tc>
        <w:tcPr>
          <w:tcW w:w="5506" w:type="dxa"/>
        </w:tcPr>
        <w:p w:rsidR="00DC3EB7" w:rsidP="00DC3EB7" w:rsidRDefault="00DC3EB7" w14:paraId="76CE5857" w14:textId="2639659B">
          <w:pPr>
            <w:pStyle w:val="Header"/>
            <w:jc w:val="center"/>
            <w:rPr>
              <w:rFonts w:ascii="Arial" w:hAnsi="Arial" w:cs="Arial"/>
              <w:sz w:val="28"/>
              <w:szCs w:val="28"/>
            </w:rPr>
          </w:pPr>
        </w:p>
        <w:p w:rsidR="00DC3EB7" w:rsidP="00DC3EB7" w:rsidRDefault="00DC3EB7" w14:paraId="489923B2" w14:textId="0670947B">
          <w:pPr>
            <w:pStyle w:val="Header"/>
            <w:jc w:val="center"/>
            <w:rPr>
              <w:rFonts w:ascii="Arial" w:hAnsi="Arial" w:cs="Arial"/>
              <w:sz w:val="28"/>
              <w:szCs w:val="28"/>
            </w:rPr>
          </w:pPr>
          <w:r>
            <w:rPr>
              <w:rFonts w:ascii="Arial" w:hAnsi="Arial" w:cs="Arial"/>
              <w:sz w:val="28"/>
              <w:szCs w:val="28"/>
            </w:rPr>
            <w:t>BISHOP AUCKLAND COLLEGE GROUP</w:t>
          </w:r>
        </w:p>
        <w:p w:rsidR="00DC3EB7" w:rsidP="00DC3EB7" w:rsidRDefault="00DC3EB7" w14:paraId="35FB3C3B" w14:textId="77777777">
          <w:pPr>
            <w:pStyle w:val="Header"/>
            <w:jc w:val="center"/>
            <w:rPr>
              <w:rFonts w:ascii="Arial" w:hAnsi="Arial" w:cs="Arial"/>
              <w:sz w:val="28"/>
              <w:szCs w:val="28"/>
            </w:rPr>
          </w:pPr>
          <w:r>
            <w:rPr>
              <w:rFonts w:ascii="Arial" w:hAnsi="Arial" w:cs="Arial"/>
              <w:sz w:val="28"/>
              <w:szCs w:val="28"/>
            </w:rPr>
            <w:t>CORPORATE BOARD</w:t>
          </w:r>
        </w:p>
        <w:p w:rsidR="00DC3EB7" w:rsidP="00DC3EB7" w:rsidRDefault="00DC3EB7" w14:paraId="6292844C" w14:textId="77777777">
          <w:pPr>
            <w:pStyle w:val="Header"/>
            <w:jc w:val="right"/>
            <w:rPr>
              <w:rFonts w:ascii="Arial" w:hAnsi="Arial" w:cs="Arial"/>
              <w:noProof/>
              <w:sz w:val="28"/>
              <w:szCs w:val="28"/>
            </w:rPr>
          </w:pPr>
        </w:p>
      </w:tc>
      <w:tc>
        <w:tcPr>
          <w:tcW w:w="1508" w:type="dxa"/>
        </w:tcPr>
        <w:p w:rsidR="00DC3EB7" w:rsidP="00DC3EB7" w:rsidRDefault="00DC3EB7" w14:paraId="22641245" w14:textId="2B9A8950">
          <w:pPr>
            <w:pStyle w:val="Header"/>
            <w:jc w:val="right"/>
            <w:rPr>
              <w:rFonts w:ascii="Arial" w:hAnsi="Arial" w:cs="Arial"/>
              <w:sz w:val="28"/>
              <w:szCs w:val="28"/>
            </w:rPr>
          </w:pPr>
          <w:r>
            <w:rPr>
              <w:rFonts w:ascii="Arial" w:hAnsi="Arial" w:cs="Arial"/>
              <w:noProof/>
              <w:sz w:val="28"/>
              <w:szCs w:val="28"/>
            </w:rPr>
            <w:drawing>
              <wp:inline distT="0" distB="0" distL="0" distR="0" wp14:anchorId="0C471F77" wp14:editId="1F8EDAEB">
                <wp:extent cx="666750" cy="6769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750" cy="676910"/>
                        </a:xfrm>
                        <a:prstGeom prst="rect">
                          <a:avLst/>
                        </a:prstGeom>
                        <a:noFill/>
                      </pic:spPr>
                    </pic:pic>
                  </a:graphicData>
                </a:graphic>
              </wp:inline>
            </w:drawing>
          </w:r>
        </w:p>
      </w:tc>
    </w:tr>
  </w:tbl>
  <w:p w:rsidR="00DC3EB7" w:rsidP="00DC3EB7" w:rsidRDefault="00DC3EB7" w14:paraId="78DFBECC" w14:textId="65E242DE">
    <w:pPr>
      <w:pStyle w:val="Header"/>
      <w:jc w:val="center"/>
    </w:pPr>
    <w:r>
      <w:rPr>
        <w:noProof/>
      </w:rPr>
      <w:drawing>
        <wp:inline distT="0" distB="0" distL="0" distR="0" wp14:anchorId="6A4F544B" wp14:editId="1E3C9FE7">
          <wp:extent cx="5878798" cy="78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22951" cy="102508"/>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376F" w:rsidRDefault="00FD376F" w14:paraId="5140E5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461A4"/>
    <w:multiLevelType w:val="hybridMultilevel"/>
    <w:tmpl w:val="75722C00"/>
    <w:lvl w:ilvl="0" w:tplc="7C24E70A">
      <w:start w:val="1"/>
      <w:numFmt w:val="lowerLetter"/>
      <w:lvlText w:val="%1."/>
      <w:lvlJc w:val="left"/>
      <w:pPr>
        <w:ind w:left="1440" w:hanging="360"/>
      </w:pPr>
      <w:rPr>
        <w:strike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33E061D7"/>
    <w:multiLevelType w:val="hybridMultilevel"/>
    <w:tmpl w:val="72E8BEA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E2AC937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B666B0"/>
    <w:multiLevelType w:val="hybridMultilevel"/>
    <w:tmpl w:val="92F0A63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60CE0524"/>
    <w:multiLevelType w:val="hybridMultilevel"/>
    <w:tmpl w:val="A77E382E"/>
    <w:lvl w:ilvl="0" w:tplc="0809000F">
      <w:start w:val="1"/>
      <w:numFmt w:val="decimal"/>
      <w:lvlText w:val="%1."/>
      <w:lvlJc w:val="left"/>
      <w:pPr>
        <w:ind w:left="-360" w:hanging="360"/>
      </w:pPr>
    </w:lvl>
    <w:lvl w:ilvl="1" w:tplc="0809000F">
      <w:start w:val="1"/>
      <w:numFmt w:val="decimal"/>
      <w:lvlText w:val="%2."/>
      <w:lvlJc w:val="left"/>
      <w:pPr>
        <w:ind w:left="360" w:hanging="360"/>
      </w:pPr>
    </w:lvl>
    <w:lvl w:ilvl="2" w:tplc="08090019">
      <w:start w:val="1"/>
      <w:numFmt w:val="lowerLetter"/>
      <w:lvlText w:val="%3."/>
      <w:lvlJc w:val="left"/>
      <w:pPr>
        <w:ind w:left="1080" w:hanging="180"/>
      </w:p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B7"/>
    <w:rsid w:val="00624927"/>
    <w:rsid w:val="00824816"/>
    <w:rsid w:val="00AA3CE7"/>
    <w:rsid w:val="00DC3EB7"/>
    <w:rsid w:val="00DF6B5E"/>
    <w:rsid w:val="00EF5CA5"/>
    <w:rsid w:val="00FB5B1D"/>
    <w:rsid w:val="00FD376F"/>
    <w:rsid w:val="0ECE5CE9"/>
    <w:rsid w:val="1751E611"/>
    <w:rsid w:val="32B21FC6"/>
    <w:rsid w:val="34EA9084"/>
    <w:rsid w:val="3DEA68EE"/>
    <w:rsid w:val="4020CBDD"/>
    <w:rsid w:val="4F805E9A"/>
    <w:rsid w:val="56DCB066"/>
    <w:rsid w:val="6AB96D28"/>
    <w:rsid w:val="6D78A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5D119"/>
  <w15:chartTrackingRefBased/>
  <w15:docId w15:val="{2551682E-74C3-41B7-8427-A1AA3459B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C3EB7"/>
    <w:pPr>
      <w:widowControl w:val="0"/>
      <w:autoSpaceDE w:val="0"/>
      <w:autoSpaceDN w:val="0"/>
      <w:spacing w:after="0" w:line="240" w:lineRule="auto"/>
    </w:pPr>
    <w:rPr>
      <w:rFonts w:ascii="Calibri" w:hAnsi="Calibri" w:eastAsia="Calibri" w:cs="Calibri"/>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DC3EB7"/>
    <w:pPr>
      <w:spacing w:before="180"/>
      <w:ind w:left="919" w:hanging="361"/>
    </w:pPr>
  </w:style>
  <w:style w:type="paragraph" w:styleId="Header">
    <w:name w:val="header"/>
    <w:basedOn w:val="Normal"/>
    <w:link w:val="HeaderChar"/>
    <w:uiPriority w:val="99"/>
    <w:unhideWhenUsed/>
    <w:rsid w:val="00DC3EB7"/>
    <w:pPr>
      <w:tabs>
        <w:tab w:val="center" w:pos="4513"/>
        <w:tab w:val="right" w:pos="9026"/>
      </w:tabs>
    </w:pPr>
  </w:style>
  <w:style w:type="character" w:styleId="HeaderChar" w:customStyle="1">
    <w:name w:val="Header Char"/>
    <w:basedOn w:val="DefaultParagraphFont"/>
    <w:link w:val="Header"/>
    <w:uiPriority w:val="99"/>
    <w:rsid w:val="00DC3EB7"/>
    <w:rPr>
      <w:rFonts w:ascii="Calibri" w:hAnsi="Calibri" w:eastAsia="Calibri" w:cs="Calibri"/>
      <w:lang w:val="en-US"/>
    </w:rPr>
  </w:style>
  <w:style w:type="paragraph" w:styleId="Footer">
    <w:name w:val="footer"/>
    <w:basedOn w:val="Normal"/>
    <w:link w:val="FooterChar"/>
    <w:uiPriority w:val="99"/>
    <w:unhideWhenUsed/>
    <w:rsid w:val="00DC3EB7"/>
    <w:pPr>
      <w:tabs>
        <w:tab w:val="center" w:pos="4513"/>
        <w:tab w:val="right" w:pos="9026"/>
      </w:tabs>
    </w:pPr>
  </w:style>
  <w:style w:type="character" w:styleId="FooterChar" w:customStyle="1">
    <w:name w:val="Footer Char"/>
    <w:basedOn w:val="DefaultParagraphFont"/>
    <w:link w:val="Footer"/>
    <w:uiPriority w:val="99"/>
    <w:rsid w:val="00DC3EB7"/>
    <w:rPr>
      <w:rFonts w:ascii="Calibri" w:hAnsi="Calibri" w:eastAsia="Calibri" w:cs="Calibri"/>
      <w:lang w:val="en-US"/>
    </w:rPr>
  </w:style>
  <w:style w:type="table" w:styleId="TableGrid">
    <w:name w:val="Table Grid"/>
    <w:basedOn w:val="TableNormal"/>
    <w:uiPriority w:val="39"/>
    <w:rsid w:val="00DC3E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 Robinson-Ruddock</dc:creator>
  <keywords/>
  <dc:description/>
  <lastModifiedBy>Marie Nigrelli</lastModifiedBy>
  <revision>7</revision>
  <dcterms:created xsi:type="dcterms:W3CDTF">2024-08-20T12:38:00.0000000Z</dcterms:created>
  <dcterms:modified xsi:type="dcterms:W3CDTF">2026-02-23T11:32:16.5675535Z</dcterms:modified>
</coreProperties>
</file>