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B5B1D" w:rsidRDefault="00FB5B1D" w14:paraId="7B107DD3" w14:textId="470D7F34"/>
    <w:p w:rsidRPr="00DC3EB7" w:rsidR="00DC3EB7" w:rsidP="00DC3EB7" w:rsidRDefault="00DC3EB7" w14:paraId="6BD5B84B" w14:textId="60AC6F5A">
      <w:pPr>
        <w:jc w:val="center"/>
        <w:rPr>
          <w:rFonts w:ascii="Arial" w:hAnsi="Arial" w:cs="Arial"/>
          <w:b/>
          <w:bCs/>
          <w:sz w:val="28"/>
          <w:szCs w:val="28"/>
        </w:rPr>
      </w:pPr>
      <w:r>
        <w:rPr>
          <w:rFonts w:ascii="Arial" w:hAnsi="Arial" w:cs="Arial"/>
          <w:b/>
          <w:bCs/>
          <w:sz w:val="28"/>
          <w:szCs w:val="28"/>
        </w:rPr>
        <w:t xml:space="preserve">TERMS OF REFERENCE – </w:t>
      </w:r>
      <w:r w:rsidR="00E254CB">
        <w:rPr>
          <w:rFonts w:ascii="Arial" w:hAnsi="Arial" w:cs="Arial"/>
          <w:b/>
          <w:bCs/>
          <w:sz w:val="28"/>
          <w:szCs w:val="28"/>
        </w:rPr>
        <w:t>RESOURCES</w:t>
      </w:r>
      <w:r w:rsidR="00AA3CE7">
        <w:rPr>
          <w:rFonts w:ascii="Arial" w:hAnsi="Arial" w:cs="Arial"/>
          <w:b/>
          <w:bCs/>
          <w:sz w:val="28"/>
          <w:szCs w:val="28"/>
        </w:rPr>
        <w:t xml:space="preserve"> COMMITTEE</w:t>
      </w:r>
    </w:p>
    <w:p w:rsidR="00DC3EB7" w:rsidRDefault="00DC3EB7" w14:paraId="43FF3839" w14:textId="311CB07C"/>
    <w:p w:rsidRPr="00660C5D" w:rsidR="00153192" w:rsidP="00153192" w:rsidRDefault="00153192" w14:paraId="31BC10E4" w14:textId="77777777">
      <w:pPr>
        <w:widowControl/>
        <w:numPr>
          <w:ilvl w:val="0"/>
          <w:numId w:val="1"/>
        </w:numPr>
        <w:tabs>
          <w:tab w:val="num" w:pos="720"/>
        </w:tabs>
        <w:autoSpaceDE/>
        <w:autoSpaceDN/>
        <w:ind w:left="284" w:right="851" w:hanging="284"/>
        <w:contextualSpacing/>
        <w:jc w:val="both"/>
        <w:rPr>
          <w:rFonts w:ascii="Arial" w:hAnsi="Arial" w:eastAsia="Times New Roman" w:cs="Arial"/>
          <w:b/>
          <w:sz w:val="24"/>
          <w:szCs w:val="24"/>
          <w:lang w:val="en-GB"/>
        </w:rPr>
      </w:pPr>
      <w:r w:rsidRPr="00660C5D">
        <w:rPr>
          <w:rFonts w:ascii="Arial" w:hAnsi="Arial" w:eastAsia="Times New Roman" w:cs="Arial"/>
          <w:b/>
          <w:sz w:val="24"/>
          <w:szCs w:val="24"/>
          <w:lang w:val="en-GB"/>
        </w:rPr>
        <w:t>RESOURCES COMMITTEE</w:t>
      </w:r>
    </w:p>
    <w:p w:rsidRPr="00660C5D" w:rsidR="00153192" w:rsidP="00153192" w:rsidRDefault="00153192" w14:paraId="16E0C60F" w14:textId="77777777">
      <w:pPr>
        <w:widowControl/>
        <w:autoSpaceDE/>
        <w:autoSpaceDN/>
        <w:ind w:left="284" w:right="851"/>
        <w:contextualSpacing/>
        <w:jc w:val="both"/>
        <w:rPr>
          <w:rFonts w:ascii="Arial" w:hAnsi="Arial" w:eastAsia="Times New Roman" w:cs="Arial"/>
          <w:b/>
          <w:sz w:val="24"/>
          <w:szCs w:val="24"/>
          <w:lang w:val="en-GB"/>
        </w:rPr>
      </w:pPr>
    </w:p>
    <w:p w:rsidRPr="00660C5D" w:rsidR="00153192" w:rsidP="00153192" w:rsidRDefault="00153192" w14:paraId="4C501D75" w14:textId="77777777">
      <w:pPr>
        <w:widowControl/>
        <w:autoSpaceDE/>
        <w:autoSpaceDN/>
        <w:ind w:right="851"/>
        <w:jc w:val="both"/>
        <w:rPr>
          <w:rFonts w:ascii="Arial" w:hAnsi="Arial" w:eastAsia="Times New Roman" w:cs="Arial"/>
          <w:b/>
          <w:sz w:val="24"/>
          <w:szCs w:val="24"/>
          <w:lang w:val="en-GB"/>
        </w:rPr>
      </w:pPr>
      <w:r w:rsidRPr="00660C5D">
        <w:rPr>
          <w:rFonts w:ascii="Arial" w:hAnsi="Arial" w:eastAsia="Times New Roman" w:cs="Arial"/>
          <w:b/>
          <w:sz w:val="24"/>
          <w:szCs w:val="24"/>
          <w:lang w:val="en-GB"/>
        </w:rPr>
        <w:t>Authorisation</w:t>
      </w:r>
    </w:p>
    <w:p w:rsidRPr="00660C5D" w:rsidR="00153192" w:rsidP="00153192" w:rsidRDefault="00153192" w14:paraId="3886E367"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29CEAE5A" w14:textId="77777777">
      <w:pPr>
        <w:widowControl/>
        <w:numPr>
          <w:ilvl w:val="0"/>
          <w:numId w:val="8"/>
        </w:numPr>
        <w:tabs>
          <w:tab w:val="center" w:pos="4513"/>
          <w:tab w:val="right" w:pos="9026"/>
        </w:tabs>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In accordance with the Instrument &amp; Articles of Government approved at the meeting of the Board of the Corporation on 15 July 2019, it was agreed to reinstate a Resources Committee.</w:t>
      </w:r>
    </w:p>
    <w:p w:rsidRPr="00660C5D" w:rsidR="00153192" w:rsidP="00153192" w:rsidRDefault="00153192" w14:paraId="7903748E" w14:textId="15EBBB9B">
      <w:pPr>
        <w:widowControl w:val="1"/>
        <w:numPr>
          <w:ilvl w:val="0"/>
          <w:numId w:val="8"/>
        </w:numPr>
        <w:autoSpaceDE/>
        <w:autoSpaceDN/>
        <w:spacing w:before="246" w:after="120" w:line="232" w:lineRule="auto"/>
        <w:ind w:right="851"/>
        <w:jc w:val="both"/>
        <w:rPr>
          <w:rFonts w:ascii="Arial" w:hAnsi="Arial" w:eastAsia="Times New Roman" w:cs="Arial"/>
          <w:sz w:val="24"/>
          <w:szCs w:val="24"/>
          <w:lang w:val="en-GB" w:eastAsia="en-GB"/>
        </w:rPr>
      </w:pPr>
      <w:bookmarkStart w:name="_Hlk175052766" w:id="0"/>
      <w:r w:rsidRPr="3223C2CF" w:rsidR="00153192">
        <w:rPr>
          <w:rFonts w:ascii="Arial" w:hAnsi="Arial" w:eastAsia="Times New Roman" w:cs="Arial"/>
          <w:sz w:val="24"/>
          <w:szCs w:val="24"/>
          <w:lang w:val="en-GB" w:eastAsia="en-GB"/>
        </w:rPr>
        <w:t xml:space="preserve">These </w:t>
      </w:r>
      <w:r w:rsidRPr="3223C2CF" w:rsidR="2627156E">
        <w:rPr>
          <w:rFonts w:ascii="Arial" w:hAnsi="Arial" w:eastAsia="Times New Roman" w:cs="Arial"/>
          <w:sz w:val="24"/>
          <w:szCs w:val="24"/>
          <w:lang w:val="en-GB" w:eastAsia="en-GB"/>
        </w:rPr>
        <w:t xml:space="preserve">updated </w:t>
      </w:r>
      <w:r w:rsidRPr="3223C2CF" w:rsidR="00153192">
        <w:rPr>
          <w:rFonts w:ascii="Arial" w:hAnsi="Arial" w:eastAsia="Times New Roman" w:cs="Arial"/>
          <w:sz w:val="24"/>
          <w:szCs w:val="24"/>
          <w:lang w:val="en-GB" w:eastAsia="en-GB"/>
        </w:rPr>
        <w:t xml:space="preserve">Terms of Reference were approved by the Corporation on </w:t>
      </w:r>
      <w:r w:rsidRPr="3223C2CF" w:rsidR="38B39AAC">
        <w:rPr>
          <w:rFonts w:ascii="Arial" w:hAnsi="Arial" w:eastAsia="Times New Roman" w:cs="Arial"/>
          <w:b w:val="1"/>
          <w:bCs w:val="1"/>
          <w:sz w:val="24"/>
          <w:szCs w:val="24"/>
          <w:lang w:val="en-GB" w:eastAsia="en-GB"/>
        </w:rPr>
        <w:t>19 November 2025.</w:t>
      </w:r>
    </w:p>
    <w:bookmarkEnd w:id="0"/>
    <w:p w:rsidRPr="00660C5D" w:rsidR="00153192" w:rsidP="00153192" w:rsidRDefault="00153192" w14:paraId="149B5ED4" w14:textId="77777777">
      <w:pPr>
        <w:widowControl/>
        <w:numPr>
          <w:ilvl w:val="0"/>
          <w:numId w:val="8"/>
        </w:numPr>
        <w:autoSpaceDE/>
        <w:autoSpaceDN/>
        <w:spacing w:before="246"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 xml:space="preserve">The Committee is authorised by the Board to investigate any activity within its Terms of Reference. It is authorised to seek any information it requires from any employee of the </w:t>
      </w:r>
      <w:r>
        <w:rPr>
          <w:rFonts w:ascii="Arial" w:hAnsi="Arial" w:eastAsia="Times New Roman" w:cs="Arial"/>
          <w:w w:val="110"/>
          <w:sz w:val="24"/>
          <w:szCs w:val="24"/>
          <w:lang w:val="en-GB" w:eastAsia="en-GB"/>
        </w:rPr>
        <w:t>Group</w:t>
      </w:r>
      <w:r w:rsidRPr="00660C5D">
        <w:rPr>
          <w:rFonts w:ascii="Arial" w:hAnsi="Arial" w:eastAsia="Times New Roman" w:cs="Arial"/>
          <w:w w:val="110"/>
          <w:sz w:val="24"/>
          <w:szCs w:val="24"/>
          <w:lang w:val="en-GB" w:eastAsia="en-GB"/>
        </w:rPr>
        <w:t xml:space="preserve"> and all employees of the </w:t>
      </w:r>
      <w:r>
        <w:rPr>
          <w:rFonts w:ascii="Arial" w:hAnsi="Arial" w:eastAsia="Times New Roman" w:cs="Arial"/>
          <w:w w:val="110"/>
          <w:sz w:val="24"/>
          <w:szCs w:val="24"/>
          <w:lang w:val="en-GB" w:eastAsia="en-GB"/>
        </w:rPr>
        <w:t>Group</w:t>
      </w:r>
      <w:r w:rsidRPr="00660C5D">
        <w:rPr>
          <w:rFonts w:ascii="Arial" w:hAnsi="Arial" w:eastAsia="Times New Roman" w:cs="Arial"/>
          <w:w w:val="110"/>
          <w:sz w:val="24"/>
          <w:szCs w:val="24"/>
          <w:lang w:val="en-GB" w:eastAsia="en-GB"/>
        </w:rPr>
        <w:t xml:space="preserve"> are directed to co-operate with any request made by the Committee.</w:t>
      </w:r>
    </w:p>
    <w:p w:rsidRPr="00130A56" w:rsidR="00153192" w:rsidP="00153192" w:rsidRDefault="00153192" w14:paraId="2791AC94" w14:textId="77777777">
      <w:pPr>
        <w:widowControl/>
        <w:numPr>
          <w:ilvl w:val="0"/>
          <w:numId w:val="8"/>
        </w:numPr>
        <w:autoSpaceDE/>
        <w:autoSpaceDN/>
        <w:spacing w:before="246"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 Committee will assess its performance against these Terms of Reference on an annual basis.</w:t>
      </w:r>
    </w:p>
    <w:p w:rsidRPr="00660C5D" w:rsidR="00153192" w:rsidP="00153192" w:rsidRDefault="00153192" w14:paraId="1A968122" w14:textId="77777777">
      <w:pPr>
        <w:widowControl/>
        <w:autoSpaceDE/>
        <w:autoSpaceDN/>
        <w:spacing w:before="246" w:after="120" w:line="232" w:lineRule="auto"/>
        <w:ind w:right="851"/>
        <w:jc w:val="both"/>
        <w:rPr>
          <w:rFonts w:ascii="Arial" w:hAnsi="Arial" w:eastAsia="Times New Roman" w:cs="Arial"/>
          <w:b/>
          <w:sz w:val="24"/>
          <w:szCs w:val="24"/>
          <w:lang w:val="en-GB" w:eastAsia="en-GB"/>
        </w:rPr>
      </w:pPr>
      <w:r w:rsidRPr="00660C5D">
        <w:rPr>
          <w:rFonts w:ascii="Arial" w:hAnsi="Arial" w:eastAsia="Times New Roman" w:cs="Arial"/>
          <w:b/>
          <w:sz w:val="24"/>
          <w:szCs w:val="24"/>
          <w:lang w:val="en-GB" w:eastAsia="en-GB"/>
        </w:rPr>
        <w:t>Purpose</w:t>
      </w:r>
    </w:p>
    <w:p w:rsidRPr="00660C5D" w:rsidR="00153192" w:rsidP="00153192" w:rsidRDefault="00153192" w14:paraId="1AE4C740" w14:textId="77777777">
      <w:pPr>
        <w:widowControl/>
        <w:numPr>
          <w:ilvl w:val="0"/>
          <w:numId w:val="8"/>
        </w:numPr>
        <w:autoSpaceDE/>
        <w:autoSpaceDN/>
        <w:spacing w:before="240" w:after="120"/>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 purpose of the Committee is to advise the Board of Governors on the following, subject to Article 11 of the Instrument &amp; Articles</w:t>
      </w:r>
      <w:r>
        <w:rPr>
          <w:rFonts w:ascii="Arial" w:hAnsi="Arial" w:eastAsia="Times New Roman" w:cs="Arial"/>
          <w:w w:val="110"/>
          <w:sz w:val="24"/>
          <w:szCs w:val="24"/>
          <w:lang w:val="en-GB" w:eastAsia="en-GB"/>
        </w:rPr>
        <w:t>.</w:t>
      </w:r>
    </w:p>
    <w:p w:rsidRPr="00660C5D" w:rsidR="00153192" w:rsidP="00153192" w:rsidRDefault="00153192" w14:paraId="55BCAA2E" w14:textId="77777777">
      <w:pPr>
        <w:widowControl/>
        <w:numPr>
          <w:ilvl w:val="1"/>
          <w:numId w:val="8"/>
        </w:numPr>
        <w:autoSpaceDE/>
        <w:autoSpaceDN/>
        <w:spacing w:before="42"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 xml:space="preserve">The financial health and solvency of the </w:t>
      </w:r>
      <w:r>
        <w:rPr>
          <w:rFonts w:ascii="Arial" w:hAnsi="Arial" w:eastAsia="Times New Roman" w:cs="Arial"/>
          <w:w w:val="110"/>
          <w:sz w:val="24"/>
          <w:szCs w:val="24"/>
          <w:lang w:val="en-GB" w:eastAsia="en-GB"/>
        </w:rPr>
        <w:t>Group</w:t>
      </w:r>
      <w:r w:rsidRPr="00660C5D">
        <w:rPr>
          <w:rFonts w:ascii="Arial" w:hAnsi="Arial" w:eastAsia="Times New Roman" w:cs="Arial"/>
          <w:w w:val="110"/>
          <w:sz w:val="24"/>
          <w:szCs w:val="24"/>
          <w:lang w:val="en-GB" w:eastAsia="en-GB"/>
        </w:rPr>
        <w:t xml:space="preserve"> and the effective and efficient use of resources to safeguard the </w:t>
      </w:r>
      <w:r>
        <w:rPr>
          <w:rFonts w:ascii="Arial" w:hAnsi="Arial" w:eastAsia="Times New Roman" w:cs="Arial"/>
          <w:w w:val="110"/>
          <w:sz w:val="24"/>
          <w:szCs w:val="24"/>
          <w:lang w:val="en-GB" w:eastAsia="en-GB"/>
        </w:rPr>
        <w:t>Group</w:t>
      </w:r>
      <w:r w:rsidRPr="00660C5D">
        <w:rPr>
          <w:rFonts w:ascii="Arial" w:hAnsi="Arial" w:eastAsia="Times New Roman" w:cs="Arial"/>
          <w:w w:val="110"/>
          <w:sz w:val="24"/>
          <w:szCs w:val="24"/>
          <w:lang w:val="en-GB" w:eastAsia="en-GB"/>
        </w:rPr>
        <w:t>’s assets;</w:t>
      </w:r>
    </w:p>
    <w:p w:rsidRPr="00660C5D" w:rsidR="00153192" w:rsidP="00153192" w:rsidRDefault="00153192" w14:paraId="41D98EF0" w14:textId="77777777">
      <w:pPr>
        <w:widowControl/>
        <w:numPr>
          <w:ilvl w:val="1"/>
          <w:numId w:val="8"/>
        </w:numPr>
        <w:autoSpaceDE/>
        <w:autoSpaceDN/>
        <w:spacing w:before="2"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Value for money, financial regularity and probity;</w:t>
      </w:r>
    </w:p>
    <w:p w:rsidRPr="00660C5D" w:rsidR="00153192" w:rsidP="00153192" w:rsidRDefault="00153192" w14:paraId="524D5A10" w14:textId="77777777">
      <w:pPr>
        <w:widowControl/>
        <w:numPr>
          <w:ilvl w:val="1"/>
          <w:numId w:val="8"/>
        </w:numPr>
        <w:autoSpaceDE/>
        <w:autoSpaceDN/>
        <w:spacing w:before="2"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 xml:space="preserve">The </w:t>
      </w:r>
      <w:r>
        <w:rPr>
          <w:rFonts w:ascii="Arial" w:hAnsi="Arial" w:eastAsia="Times New Roman" w:cs="Arial"/>
          <w:w w:val="110"/>
          <w:sz w:val="24"/>
          <w:szCs w:val="24"/>
          <w:lang w:val="en-GB" w:eastAsia="en-GB"/>
        </w:rPr>
        <w:t>Group</w:t>
      </w:r>
      <w:r w:rsidRPr="00660C5D">
        <w:rPr>
          <w:rFonts w:ascii="Arial" w:hAnsi="Arial" w:eastAsia="Times New Roman" w:cs="Arial"/>
          <w:w w:val="110"/>
          <w:sz w:val="24"/>
          <w:szCs w:val="24"/>
          <w:lang w:val="en-GB" w:eastAsia="en-GB"/>
        </w:rPr>
        <w:t>’s property strategy and capital investment;</w:t>
      </w:r>
    </w:p>
    <w:p w:rsidRPr="00660C5D" w:rsidR="00153192" w:rsidP="00153192" w:rsidRDefault="00153192" w14:paraId="7C84FF96"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 financial implications of new ventures and initiatives;</w:t>
      </w:r>
    </w:p>
    <w:p w:rsidRPr="00660C5D" w:rsidR="00153192" w:rsidP="00153192" w:rsidRDefault="00153192" w14:paraId="154E0D4A" w14:textId="77777777">
      <w:pPr>
        <w:widowControl w:val="1"/>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sidR="00153192">
        <w:rPr>
          <w:rFonts w:ascii="Arial" w:hAnsi="Arial" w:eastAsia="Times New Roman" w:cs="Arial"/>
          <w:w w:val="110"/>
          <w:sz w:val="24"/>
          <w:szCs w:val="24"/>
          <w:lang w:val="en-GB" w:eastAsia="en-GB"/>
        </w:rPr>
        <w:t xml:space="preserve">Safeguarding, Equality &amp; Diversity, Health &amp; </w:t>
      </w:r>
      <w:r w:rsidRPr="00660C5D" w:rsidR="00153192">
        <w:rPr>
          <w:rFonts w:ascii="Arial" w:hAnsi="Arial" w:eastAsia="Times New Roman" w:cs="Arial"/>
          <w:w w:val="110"/>
          <w:sz w:val="24"/>
          <w:szCs w:val="24"/>
          <w:lang w:val="en-GB" w:eastAsia="en-GB"/>
        </w:rPr>
        <w:t>Safety</w:t>
      </w:r>
      <w:r w:rsidRPr="00660C5D" w:rsidR="00153192">
        <w:rPr>
          <w:rFonts w:ascii="Arial" w:hAnsi="Arial" w:eastAsia="Times New Roman" w:cs="Arial"/>
          <w:w w:val="110"/>
          <w:sz w:val="24"/>
          <w:szCs w:val="24"/>
          <w:lang w:val="en-GB" w:eastAsia="en-GB"/>
        </w:rPr>
        <w:t xml:space="preserve"> and other HR matters.</w:t>
      </w:r>
    </w:p>
    <w:p w:rsidR="2062E7AF" w:rsidP="3223C2CF" w:rsidRDefault="2062E7AF" w14:paraId="6D924390" w14:textId="5F7DB63B">
      <w:pPr>
        <w:widowControl w:val="1"/>
        <w:numPr>
          <w:ilvl w:val="1"/>
          <w:numId w:val="8"/>
        </w:numPr>
        <w:spacing w:after="120" w:line="240" w:lineRule="exact"/>
        <w:ind w:right="851"/>
        <w:jc w:val="both"/>
        <w:rPr>
          <w:rFonts w:ascii="Arial" w:hAnsi="Arial" w:eastAsia="Times New Roman" w:cs="Arial"/>
          <w:sz w:val="24"/>
          <w:szCs w:val="24"/>
          <w:lang w:val="en-GB" w:eastAsia="en-GB"/>
        </w:rPr>
      </w:pPr>
      <w:r w:rsidRPr="3223C2CF" w:rsidR="2062E7AF">
        <w:rPr>
          <w:rFonts w:ascii="Arial" w:hAnsi="Arial" w:eastAsia="Times New Roman" w:cs="Arial"/>
          <w:sz w:val="24"/>
          <w:szCs w:val="24"/>
          <w:lang w:val="en-GB" w:eastAsia="en-GB"/>
        </w:rPr>
        <w:t>Stakeholder management strategy.</w:t>
      </w:r>
    </w:p>
    <w:p w:rsidR="3223C2CF" w:rsidP="3223C2CF" w:rsidRDefault="3223C2CF" w14:paraId="3BD7EF2C" w14:textId="4BAF868A">
      <w:pPr>
        <w:widowControl w:val="1"/>
        <w:spacing w:after="120" w:line="240" w:lineRule="exact"/>
        <w:ind w:left="1080" w:right="851"/>
        <w:jc w:val="both"/>
        <w:rPr>
          <w:rFonts w:ascii="Arial" w:hAnsi="Arial" w:eastAsia="Times New Roman" w:cs="Arial"/>
          <w:sz w:val="24"/>
          <w:szCs w:val="24"/>
          <w:lang w:val="en-GB" w:eastAsia="en-GB"/>
        </w:rPr>
      </w:pPr>
    </w:p>
    <w:p w:rsidRPr="00660C5D" w:rsidR="00153192" w:rsidP="00153192" w:rsidRDefault="00153192" w14:paraId="6E6083A8" w14:textId="77777777">
      <w:pPr>
        <w:widowControl/>
        <w:numPr>
          <w:ilvl w:val="0"/>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Committee</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is</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required</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to</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fulfil</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its</w:t>
      </w:r>
      <w:r w:rsidRPr="00660C5D">
        <w:rPr>
          <w:rFonts w:ascii="Arial" w:hAnsi="Arial" w:eastAsia="Times New Roman" w:cs="Arial"/>
          <w:spacing w:val="-4"/>
          <w:w w:val="110"/>
          <w:sz w:val="24"/>
          <w:szCs w:val="24"/>
          <w:lang w:val="en-GB" w:eastAsia="en-GB"/>
        </w:rPr>
        <w:t xml:space="preserve"> </w:t>
      </w:r>
      <w:r w:rsidRPr="00660C5D">
        <w:rPr>
          <w:rFonts w:ascii="Arial" w:hAnsi="Arial" w:eastAsia="Times New Roman" w:cs="Arial"/>
          <w:w w:val="110"/>
          <w:sz w:val="24"/>
          <w:szCs w:val="24"/>
          <w:lang w:val="en-GB" w:eastAsia="en-GB"/>
        </w:rPr>
        <w:t>responsibilities</w:t>
      </w:r>
      <w:r w:rsidRPr="00660C5D">
        <w:rPr>
          <w:rFonts w:ascii="Arial" w:hAnsi="Arial" w:eastAsia="Times New Roman" w:cs="Arial"/>
          <w:spacing w:val="-4"/>
          <w:w w:val="110"/>
          <w:sz w:val="24"/>
          <w:szCs w:val="24"/>
          <w:lang w:val="en-GB" w:eastAsia="en-GB"/>
        </w:rPr>
        <w:t xml:space="preserve"> </w:t>
      </w:r>
      <w:r w:rsidRPr="00660C5D">
        <w:rPr>
          <w:rFonts w:ascii="Arial" w:hAnsi="Arial" w:eastAsia="Times New Roman" w:cs="Arial"/>
          <w:w w:val="110"/>
          <w:sz w:val="24"/>
          <w:szCs w:val="24"/>
          <w:lang w:val="en-GB" w:eastAsia="en-GB"/>
        </w:rPr>
        <w:t>set</w:t>
      </w:r>
      <w:r w:rsidRPr="00660C5D">
        <w:rPr>
          <w:rFonts w:ascii="Arial" w:hAnsi="Arial" w:eastAsia="Times New Roman" w:cs="Arial"/>
          <w:spacing w:val="-3"/>
          <w:w w:val="110"/>
          <w:sz w:val="24"/>
          <w:szCs w:val="24"/>
          <w:lang w:val="en-GB" w:eastAsia="en-GB"/>
        </w:rPr>
        <w:t xml:space="preserve"> </w:t>
      </w:r>
      <w:r w:rsidRPr="00660C5D">
        <w:rPr>
          <w:rFonts w:ascii="Arial" w:hAnsi="Arial" w:eastAsia="Times New Roman" w:cs="Arial"/>
          <w:w w:val="110"/>
          <w:sz w:val="24"/>
          <w:szCs w:val="24"/>
          <w:lang w:val="en-GB" w:eastAsia="en-GB"/>
        </w:rPr>
        <w:t>out</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in</w:t>
      </w:r>
      <w:r w:rsidRPr="00660C5D">
        <w:rPr>
          <w:rFonts w:ascii="Arial" w:hAnsi="Arial" w:eastAsia="Times New Roman" w:cs="Arial"/>
          <w:spacing w:val="-3"/>
          <w:w w:val="110"/>
          <w:sz w:val="24"/>
          <w:szCs w:val="24"/>
          <w:lang w:val="en-GB" w:eastAsia="en-GB"/>
        </w:rPr>
        <w:t xml:space="preserve"> </w:t>
      </w:r>
      <w:r w:rsidRPr="00660C5D">
        <w:rPr>
          <w:rFonts w:ascii="Arial" w:hAnsi="Arial" w:eastAsia="Times New Roman" w:cs="Arial"/>
          <w:w w:val="110"/>
          <w:sz w:val="24"/>
          <w:szCs w:val="24"/>
          <w:lang w:val="en-GB" w:eastAsia="en-GB"/>
        </w:rPr>
        <w:t>these</w:t>
      </w:r>
      <w:r w:rsidRPr="00660C5D">
        <w:rPr>
          <w:rFonts w:ascii="Arial" w:hAnsi="Arial" w:eastAsia="Times New Roman" w:cs="Arial"/>
          <w:spacing w:val="-5"/>
          <w:w w:val="110"/>
          <w:sz w:val="24"/>
          <w:szCs w:val="24"/>
          <w:lang w:val="en-GB" w:eastAsia="en-GB"/>
        </w:rPr>
        <w:t xml:space="preserve"> </w:t>
      </w:r>
      <w:r w:rsidRPr="00660C5D">
        <w:rPr>
          <w:rFonts w:ascii="Arial" w:hAnsi="Arial" w:eastAsia="Times New Roman" w:cs="Arial"/>
          <w:w w:val="110"/>
          <w:sz w:val="24"/>
          <w:szCs w:val="24"/>
          <w:lang w:val="en-GB" w:eastAsia="en-GB"/>
        </w:rPr>
        <w:t>terms</w:t>
      </w:r>
      <w:r w:rsidRPr="00660C5D">
        <w:rPr>
          <w:rFonts w:ascii="Arial" w:hAnsi="Arial" w:eastAsia="Times New Roman" w:cs="Arial"/>
          <w:spacing w:val="-3"/>
          <w:w w:val="110"/>
          <w:sz w:val="24"/>
          <w:szCs w:val="24"/>
          <w:lang w:val="en-GB" w:eastAsia="en-GB"/>
        </w:rPr>
        <w:t xml:space="preserve"> </w:t>
      </w:r>
      <w:r w:rsidRPr="00660C5D">
        <w:rPr>
          <w:rFonts w:ascii="Arial" w:hAnsi="Arial" w:eastAsia="Times New Roman" w:cs="Arial"/>
          <w:w w:val="110"/>
          <w:sz w:val="24"/>
          <w:szCs w:val="24"/>
          <w:lang w:val="en-GB" w:eastAsia="en-GB"/>
        </w:rPr>
        <w:t>of</w:t>
      </w:r>
      <w:r w:rsidRPr="00660C5D">
        <w:rPr>
          <w:rFonts w:ascii="Arial" w:hAnsi="Arial" w:eastAsia="Times New Roman" w:cs="Arial"/>
          <w:spacing w:val="-3"/>
          <w:w w:val="110"/>
          <w:sz w:val="24"/>
          <w:szCs w:val="24"/>
          <w:lang w:val="en-GB" w:eastAsia="en-GB"/>
        </w:rPr>
        <w:t xml:space="preserve"> </w:t>
      </w:r>
      <w:r w:rsidRPr="00660C5D">
        <w:rPr>
          <w:rFonts w:ascii="Arial" w:hAnsi="Arial" w:eastAsia="Times New Roman" w:cs="Arial"/>
          <w:w w:val="110"/>
          <w:sz w:val="24"/>
          <w:szCs w:val="24"/>
          <w:lang w:val="en-GB" w:eastAsia="en-GB"/>
        </w:rPr>
        <w:t>reference</w:t>
      </w:r>
      <w:r w:rsidRPr="00660C5D">
        <w:rPr>
          <w:rFonts w:ascii="Arial" w:hAnsi="Arial" w:eastAsia="Times New Roman" w:cs="Arial"/>
          <w:spacing w:val="-5"/>
          <w:w w:val="110"/>
          <w:sz w:val="24"/>
          <w:szCs w:val="24"/>
          <w:lang w:val="en-GB" w:eastAsia="en-GB"/>
        </w:rPr>
        <w:t xml:space="preserve"> </w:t>
      </w:r>
      <w:r w:rsidRPr="00660C5D">
        <w:rPr>
          <w:rFonts w:ascii="Arial" w:hAnsi="Arial" w:eastAsia="Times New Roman" w:cs="Arial"/>
          <w:w w:val="110"/>
          <w:sz w:val="24"/>
          <w:szCs w:val="24"/>
          <w:lang w:val="en-GB" w:eastAsia="en-GB"/>
        </w:rPr>
        <w:t>in</w:t>
      </w:r>
      <w:r w:rsidRPr="00660C5D">
        <w:rPr>
          <w:rFonts w:ascii="Arial" w:hAnsi="Arial" w:eastAsia="Times New Roman" w:cs="Arial"/>
          <w:spacing w:val="-2"/>
          <w:w w:val="110"/>
          <w:sz w:val="24"/>
          <w:szCs w:val="24"/>
          <w:lang w:val="en-GB" w:eastAsia="en-GB"/>
        </w:rPr>
        <w:t xml:space="preserve"> </w:t>
      </w:r>
      <w:r w:rsidRPr="00660C5D">
        <w:rPr>
          <w:rFonts w:ascii="Arial" w:hAnsi="Arial" w:eastAsia="Times New Roman" w:cs="Arial"/>
          <w:w w:val="110"/>
          <w:sz w:val="24"/>
          <w:szCs w:val="24"/>
          <w:lang w:val="en-GB" w:eastAsia="en-GB"/>
        </w:rPr>
        <w:t xml:space="preserve">line with the </w:t>
      </w:r>
      <w:r>
        <w:rPr>
          <w:rFonts w:ascii="Arial" w:hAnsi="Arial" w:eastAsia="Times New Roman" w:cs="Arial"/>
          <w:w w:val="110"/>
          <w:sz w:val="24"/>
          <w:szCs w:val="24"/>
          <w:lang w:val="en-GB" w:eastAsia="en-GB"/>
        </w:rPr>
        <w:t>Group</w:t>
      </w:r>
      <w:r w:rsidRPr="00660C5D">
        <w:rPr>
          <w:rFonts w:ascii="Arial" w:hAnsi="Arial" w:eastAsia="Times New Roman" w:cs="Arial"/>
          <w:w w:val="110"/>
          <w:sz w:val="24"/>
          <w:szCs w:val="24"/>
          <w:lang w:val="en-GB" w:eastAsia="en-GB"/>
        </w:rPr>
        <w:t>’s:</w:t>
      </w:r>
    </w:p>
    <w:p w:rsidRPr="00660C5D" w:rsidR="00153192" w:rsidP="00153192" w:rsidRDefault="00153192" w14:paraId="07A7B195"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Financial Regulations;</w:t>
      </w:r>
    </w:p>
    <w:p w:rsidRPr="00660C5D" w:rsidR="00153192" w:rsidP="00153192" w:rsidRDefault="00153192" w14:paraId="475443D2"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Capital planning and estates policies and procedures;</w:t>
      </w:r>
    </w:p>
    <w:p w:rsidRPr="00660C5D" w:rsidR="00153192" w:rsidP="00153192" w:rsidRDefault="00153192" w14:paraId="06BAACF4"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Financial Memorandum between the Corporation and the Skills Funding Agency (or any successor funding body);</w:t>
      </w:r>
    </w:p>
    <w:p w:rsidRPr="00660C5D" w:rsidR="00153192" w:rsidP="00153192" w:rsidRDefault="00153192" w14:paraId="4289C211"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Safeguarding policies;</w:t>
      </w:r>
    </w:p>
    <w:p w:rsidRPr="00660C5D" w:rsidR="00153192" w:rsidP="00153192" w:rsidRDefault="00153192" w14:paraId="39E6CD35"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Equality &amp; Diversity policies;</w:t>
      </w:r>
    </w:p>
    <w:p w:rsidRPr="00660C5D" w:rsidR="00153192" w:rsidP="00153192" w:rsidRDefault="00153192" w14:paraId="665B4B95"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Health &amp; Safety policies;</w:t>
      </w:r>
    </w:p>
    <w:p w:rsidRPr="00660C5D" w:rsidR="00153192" w:rsidP="00153192" w:rsidRDefault="00153192" w14:paraId="576F9175" w14:textId="77777777">
      <w:pPr>
        <w:widowControl/>
        <w:numPr>
          <w:ilvl w:val="1"/>
          <w:numId w:val="8"/>
        </w:numPr>
        <w:autoSpaceDE/>
        <w:autoSpaceDN/>
        <w:spacing w:after="120" w:line="240" w:lineRule="exact"/>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lastRenderedPageBreak/>
        <w:t>Partnership Planning policies.</w:t>
      </w:r>
    </w:p>
    <w:p w:rsidRPr="00660C5D" w:rsidR="00153192" w:rsidP="00153192" w:rsidRDefault="00153192" w14:paraId="6E2C18C8" w14:textId="77777777">
      <w:pPr>
        <w:widowControl/>
        <w:autoSpaceDE/>
        <w:autoSpaceDN/>
        <w:spacing w:after="120" w:line="240" w:lineRule="exact"/>
        <w:ind w:left="1080" w:right="851"/>
        <w:jc w:val="both"/>
        <w:rPr>
          <w:rFonts w:ascii="Arial" w:hAnsi="Arial" w:eastAsia="Times New Roman" w:cs="Arial"/>
          <w:sz w:val="24"/>
          <w:szCs w:val="24"/>
          <w:lang w:val="en-GB" w:eastAsia="en-GB"/>
        </w:rPr>
      </w:pPr>
    </w:p>
    <w:p w:rsidRPr="00660C5D" w:rsidR="00153192" w:rsidP="00153192" w:rsidRDefault="00153192" w14:paraId="2CBFA459" w14:textId="77777777">
      <w:pPr>
        <w:widowControl/>
        <w:autoSpaceDE/>
        <w:autoSpaceDN/>
        <w:ind w:right="851"/>
        <w:jc w:val="both"/>
        <w:rPr>
          <w:rFonts w:ascii="Arial" w:hAnsi="Arial" w:eastAsia="Times New Roman" w:cs="Arial"/>
          <w:b/>
          <w:sz w:val="24"/>
          <w:szCs w:val="24"/>
          <w:lang w:val="en-GB"/>
        </w:rPr>
      </w:pPr>
      <w:r w:rsidRPr="00660C5D">
        <w:rPr>
          <w:rFonts w:ascii="Arial" w:hAnsi="Arial" w:eastAsia="Times New Roman" w:cs="Arial"/>
          <w:b/>
          <w:sz w:val="24"/>
          <w:szCs w:val="24"/>
          <w:lang w:val="en-GB"/>
        </w:rPr>
        <w:t>Composition and Rules</w:t>
      </w:r>
    </w:p>
    <w:p w:rsidRPr="00660C5D" w:rsidR="00153192" w:rsidP="00153192" w:rsidRDefault="00153192" w14:paraId="4F10AF31" w14:textId="77777777">
      <w:pPr>
        <w:widowControl/>
        <w:numPr>
          <w:ilvl w:val="0"/>
          <w:numId w:val="8"/>
        </w:numPr>
        <w:autoSpaceDE/>
        <w:autoSpaceDN/>
        <w:spacing w:before="246"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 Committee shall consist of a m</w:t>
      </w:r>
      <w:r>
        <w:rPr>
          <w:rFonts w:ascii="Arial" w:hAnsi="Arial" w:eastAsia="Times New Roman" w:cs="Arial"/>
          <w:w w:val="110"/>
          <w:sz w:val="24"/>
          <w:szCs w:val="24"/>
          <w:lang w:val="en-GB" w:eastAsia="en-GB"/>
        </w:rPr>
        <w:t>axim</w:t>
      </w:r>
      <w:r w:rsidRPr="00660C5D">
        <w:rPr>
          <w:rFonts w:ascii="Arial" w:hAnsi="Arial" w:eastAsia="Times New Roman" w:cs="Arial"/>
          <w:w w:val="110"/>
          <w:sz w:val="24"/>
          <w:szCs w:val="24"/>
          <w:lang w:val="en-GB" w:eastAsia="en-GB"/>
        </w:rPr>
        <w:t>um of five members appointed by the Board. Membership of the Committee should include individuals with an appropriate mix of skills and experience to allow it to discharge its duties effectively.</w:t>
      </w:r>
    </w:p>
    <w:p w:rsidRPr="00660C5D" w:rsidR="00153192" w:rsidP="00153192" w:rsidRDefault="00153192" w14:paraId="4E1DC1DE" w14:textId="77777777">
      <w:pPr>
        <w:widowControl/>
        <w:numPr>
          <w:ilvl w:val="0"/>
          <w:numId w:val="8"/>
        </w:numPr>
        <w:autoSpaceDE/>
        <w:autoSpaceDN/>
        <w:spacing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In accordance with Article 9, membership of the Committee may include up to two persons who are not members of the governing body but have been co-opted by the Board to add to the skills and expertise available to the Committee and provide an independent view (External Members).</w:t>
      </w:r>
    </w:p>
    <w:p w:rsidRPr="00660C5D" w:rsidR="00153192" w:rsidP="00153192" w:rsidRDefault="00153192" w14:paraId="66A33E08" w14:textId="77777777">
      <w:pPr>
        <w:widowControl/>
        <w:numPr>
          <w:ilvl w:val="0"/>
          <w:numId w:val="8"/>
        </w:numPr>
        <w:autoSpaceDE/>
        <w:autoSpaceDN/>
        <w:spacing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 xml:space="preserve">In accordance with Instrument 5, in the absence of the Chair, the Committee shall appoint a Chair for that meeting from amongst the </w:t>
      </w:r>
      <w:r w:rsidRPr="00660C5D">
        <w:rPr>
          <w:rFonts w:ascii="Arial" w:hAnsi="Arial" w:eastAsia="Arial" w:cs="Arial"/>
          <w:sz w:val="24"/>
          <w:szCs w:val="24"/>
          <w:lang w:val="en-GB" w:eastAsia="en-GB"/>
        </w:rPr>
        <w:t>Governors present.</w:t>
      </w:r>
    </w:p>
    <w:p w:rsidRPr="00660C5D" w:rsidR="00153192" w:rsidP="00153192" w:rsidRDefault="00153192" w14:paraId="1F8FB7B0" w14:textId="77777777">
      <w:pPr>
        <w:widowControl/>
        <w:numPr>
          <w:ilvl w:val="0"/>
          <w:numId w:val="8"/>
        </w:numPr>
        <w:autoSpaceDE/>
        <w:autoSpaceDN/>
        <w:spacing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 Committee shall be quorate when at least two Board Members are in attendance and External Members will not be counted within the quorum.</w:t>
      </w:r>
    </w:p>
    <w:p w:rsidRPr="00660C5D" w:rsidR="00153192" w:rsidP="00153192" w:rsidRDefault="00153192" w14:paraId="67869B4C" w14:textId="77777777">
      <w:pPr>
        <w:widowControl/>
        <w:numPr>
          <w:ilvl w:val="0"/>
          <w:numId w:val="8"/>
        </w:numPr>
        <w:autoSpaceDE/>
        <w:autoSpaceDN/>
        <w:spacing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 xml:space="preserve">The Committee shall meet at least once in each academic term. </w:t>
      </w:r>
      <w:bookmarkStart w:name="_Hlk126583812" w:id="1"/>
      <w:r w:rsidRPr="00660C5D">
        <w:rPr>
          <w:rFonts w:ascii="Arial" w:hAnsi="Arial" w:eastAsia="Times New Roman" w:cs="Arial"/>
          <w:w w:val="110"/>
          <w:sz w:val="24"/>
          <w:szCs w:val="24"/>
          <w:lang w:val="en-GB" w:eastAsia="en-GB"/>
        </w:rPr>
        <w:t>Additional meetings may be called as necessary in agreement with the Chair.</w:t>
      </w:r>
    </w:p>
    <w:bookmarkEnd w:id="1"/>
    <w:p w:rsidRPr="00660C5D" w:rsidR="00153192" w:rsidP="00153192" w:rsidRDefault="00153192" w14:paraId="3200B3F0" w14:textId="77777777">
      <w:pPr>
        <w:widowControl/>
        <w:numPr>
          <w:ilvl w:val="0"/>
          <w:numId w:val="8"/>
        </w:numPr>
        <w:autoSpaceDE/>
        <w:autoSpaceDN/>
        <w:spacing w:after="120" w:line="232" w:lineRule="auto"/>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Decisions to be made at meetings of the Committee shall be determined by a majority of the votes of Board Members present (as set out at Instrument 1 f.) and voting. Where there is an equal division of votes, the Chair shall have a second or casting vote.</w:t>
      </w:r>
    </w:p>
    <w:p w:rsidRPr="00660C5D" w:rsidR="00153192" w:rsidP="00153192" w:rsidRDefault="00153192" w14:paraId="6003C54B" w14:textId="77777777">
      <w:pPr>
        <w:widowControl/>
        <w:numPr>
          <w:ilvl w:val="0"/>
          <w:numId w:val="8"/>
        </w:numPr>
        <w:autoSpaceDE/>
        <w:autoSpaceDN/>
        <w:spacing w:before="1" w:after="120"/>
        <w:ind w:right="851"/>
        <w:jc w:val="both"/>
        <w:rPr>
          <w:rFonts w:ascii="Arial" w:hAnsi="Arial" w:eastAsia="Times New Roman" w:cs="Arial"/>
          <w:sz w:val="24"/>
          <w:szCs w:val="24"/>
          <w:lang w:val="en-GB" w:eastAsia="en-GB"/>
        </w:rPr>
      </w:pPr>
      <w:r w:rsidRPr="00660C5D">
        <w:rPr>
          <w:rFonts w:ascii="Arial" w:hAnsi="Arial" w:eastAsia="Times New Roman" w:cs="Arial"/>
          <w:w w:val="110"/>
          <w:sz w:val="24"/>
          <w:szCs w:val="24"/>
          <w:lang w:val="en-GB" w:eastAsia="en-GB"/>
        </w:rPr>
        <w:t>The Committee shall be served by the Clerk to the Governors or his/her deputy.</w:t>
      </w:r>
    </w:p>
    <w:p w:rsidR="00153192" w:rsidP="00153192" w:rsidRDefault="00153192" w14:paraId="0BB4B68D" w14:textId="77777777">
      <w:pPr>
        <w:widowControl/>
        <w:autoSpaceDE/>
        <w:autoSpaceDN/>
        <w:ind w:right="851"/>
        <w:jc w:val="both"/>
        <w:rPr>
          <w:rFonts w:ascii="Arial" w:hAnsi="Arial" w:eastAsia="Times New Roman" w:cs="Arial"/>
          <w:b/>
          <w:sz w:val="24"/>
          <w:szCs w:val="24"/>
          <w:lang w:val="en-GB"/>
        </w:rPr>
      </w:pPr>
    </w:p>
    <w:p w:rsidR="00153192" w:rsidP="00153192" w:rsidRDefault="00153192" w14:paraId="2ECBECB5" w14:textId="77777777">
      <w:pPr>
        <w:widowControl/>
        <w:autoSpaceDE/>
        <w:autoSpaceDN/>
        <w:ind w:right="851"/>
        <w:jc w:val="both"/>
        <w:rPr>
          <w:rFonts w:ascii="Arial" w:hAnsi="Arial" w:eastAsia="Times New Roman" w:cs="Arial"/>
          <w:b/>
          <w:sz w:val="24"/>
          <w:szCs w:val="24"/>
          <w:lang w:val="en-GB"/>
        </w:rPr>
      </w:pPr>
      <w:r w:rsidRPr="00660C5D">
        <w:rPr>
          <w:rFonts w:ascii="Arial" w:hAnsi="Arial" w:eastAsia="Times New Roman" w:cs="Arial"/>
          <w:b/>
          <w:sz w:val="24"/>
          <w:szCs w:val="24"/>
          <w:lang w:val="en-GB"/>
        </w:rPr>
        <w:t xml:space="preserve">Terms of Reference </w:t>
      </w:r>
    </w:p>
    <w:p w:rsidRPr="00660C5D" w:rsidR="00153192" w:rsidP="00153192" w:rsidRDefault="00153192" w14:paraId="6044990B"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42B02B2A" w14:textId="77777777">
      <w:pPr>
        <w:widowControl/>
        <w:numPr>
          <w:ilvl w:val="0"/>
          <w:numId w:val="8"/>
        </w:numPr>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 xml:space="preserve">Consider and approve the </w:t>
      </w:r>
      <w:r>
        <w:rPr>
          <w:rFonts w:ascii="Arial" w:hAnsi="Arial" w:eastAsia="Times New Roman" w:cs="Arial"/>
          <w:sz w:val="24"/>
          <w:szCs w:val="24"/>
          <w:lang w:val="en-GB"/>
        </w:rPr>
        <w:t>Group</w:t>
      </w:r>
      <w:r w:rsidRPr="00660C5D">
        <w:rPr>
          <w:rFonts w:ascii="Arial" w:hAnsi="Arial" w:eastAsia="Times New Roman" w:cs="Arial"/>
          <w:sz w:val="24"/>
          <w:szCs w:val="24"/>
          <w:lang w:val="en-GB"/>
        </w:rPr>
        <w:t>’s charging policy.</w:t>
      </w:r>
    </w:p>
    <w:p w:rsidRPr="00660C5D" w:rsidR="00153192" w:rsidP="00153192" w:rsidRDefault="00153192" w14:paraId="7B74C0DF" w14:textId="77777777">
      <w:pPr>
        <w:widowControl/>
        <w:autoSpaceDE/>
        <w:autoSpaceDN/>
        <w:ind w:left="360" w:right="851"/>
        <w:jc w:val="both"/>
        <w:rPr>
          <w:rFonts w:ascii="Arial" w:hAnsi="Arial" w:eastAsia="Times New Roman" w:cs="Arial"/>
          <w:sz w:val="24"/>
          <w:szCs w:val="24"/>
          <w:lang w:val="en-GB"/>
        </w:rPr>
      </w:pPr>
    </w:p>
    <w:p w:rsidRPr="00660C5D" w:rsidR="00153192" w:rsidP="00153192" w:rsidRDefault="00153192" w14:paraId="49182A51"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Consider and approve all matters concerning the processing of contracts and tenders.</w:t>
      </w:r>
    </w:p>
    <w:p w:rsidRPr="00660C5D" w:rsidR="00153192" w:rsidP="00153192" w:rsidRDefault="00153192" w14:paraId="3F1C3048" w14:textId="77777777">
      <w:pPr>
        <w:widowControl/>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 xml:space="preserve"> </w:t>
      </w:r>
    </w:p>
    <w:p w:rsidRPr="00660C5D" w:rsidR="00153192" w:rsidP="00153192" w:rsidRDefault="00153192" w14:paraId="3774FF3E"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Consider and approve the write off of stock and un-reclaimable debts.</w:t>
      </w:r>
    </w:p>
    <w:p w:rsidRPr="00660C5D" w:rsidR="00153192" w:rsidP="00153192" w:rsidRDefault="00153192" w14:paraId="1E70B322"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6494EF60"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Consider and approve all policy matters involving the management of premises and grounds and recommend to the Board for approval issues in relation to acquisitions, disposals and related matters.</w:t>
      </w:r>
    </w:p>
    <w:p w:rsidRPr="00660C5D" w:rsidR="00153192" w:rsidP="00153192" w:rsidRDefault="00153192" w14:paraId="40B00F6A" w14:textId="77777777">
      <w:pPr>
        <w:widowControl/>
        <w:autoSpaceDE/>
        <w:autoSpaceDN/>
        <w:ind w:left="720" w:right="851"/>
        <w:contextualSpacing/>
        <w:jc w:val="both"/>
        <w:rPr>
          <w:rFonts w:ascii="Arial" w:hAnsi="Arial" w:eastAsia="Times New Roman" w:cs="Arial"/>
          <w:sz w:val="24"/>
          <w:szCs w:val="24"/>
          <w:lang w:val="en-GB"/>
        </w:rPr>
      </w:pPr>
    </w:p>
    <w:p w:rsidRPr="00660C5D" w:rsidR="00153192" w:rsidP="00153192" w:rsidRDefault="00153192" w14:paraId="3D4C31AC"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lastRenderedPageBreak/>
        <w:t>Consider and recommend the annual financial statements to the Audit Committee prior their consideration for submission to the Board for approval.</w:t>
      </w:r>
    </w:p>
    <w:p w:rsidRPr="00660C5D" w:rsidR="00153192" w:rsidP="00153192" w:rsidRDefault="00153192" w14:paraId="2F1A56FF"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2088415E" w14:textId="77777777">
      <w:pPr>
        <w:widowControl/>
        <w:numPr>
          <w:ilvl w:val="0"/>
          <w:numId w:val="8"/>
        </w:numPr>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Consider and recommend to the Board for approval the annual and longer-term budgets.</w:t>
      </w:r>
    </w:p>
    <w:p w:rsidRPr="00660C5D" w:rsidR="00153192" w:rsidP="00153192" w:rsidRDefault="00153192" w14:paraId="264066A0"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0FADD9CD" w14:textId="77777777">
      <w:pPr>
        <w:widowControl/>
        <w:numPr>
          <w:ilvl w:val="0"/>
          <w:numId w:val="8"/>
        </w:numPr>
        <w:tabs>
          <w:tab w:val="num" w:pos="567"/>
        </w:tabs>
        <w:autoSpaceDE/>
        <w:autoSpaceDN/>
        <w:ind w:left="426" w:right="851" w:hanging="426"/>
        <w:jc w:val="both"/>
        <w:rPr>
          <w:rFonts w:ascii="Arial" w:hAnsi="Arial" w:eastAsia="Times New Roman" w:cs="Arial"/>
          <w:sz w:val="24"/>
          <w:szCs w:val="24"/>
          <w:lang w:val="en-GB"/>
        </w:rPr>
      </w:pPr>
      <w:r w:rsidRPr="00660C5D">
        <w:rPr>
          <w:rFonts w:ascii="Arial" w:hAnsi="Arial" w:eastAsia="Times New Roman" w:cs="Arial"/>
          <w:sz w:val="24"/>
          <w:szCs w:val="24"/>
          <w:lang w:val="en-GB"/>
        </w:rPr>
        <w:t>Consider and recommend to the Board for approval the end of year figures.</w:t>
      </w:r>
    </w:p>
    <w:p w:rsidRPr="00660C5D" w:rsidR="00153192" w:rsidP="00153192" w:rsidRDefault="00153192" w14:paraId="1B894080"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7B7C3CB9"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Consider and recommend to the Board approval of investment matters within the terms of the Board’s policy statement and receive reports from the Director of Finance detailing investment decisions taken accordingly.</w:t>
      </w:r>
    </w:p>
    <w:p w:rsidRPr="00660C5D" w:rsidR="00153192" w:rsidP="00153192" w:rsidRDefault="00153192" w14:paraId="68327752" w14:textId="77777777">
      <w:pPr>
        <w:widowControl/>
        <w:autoSpaceDE/>
        <w:autoSpaceDN/>
        <w:ind w:left="720" w:right="851"/>
        <w:contextualSpacing/>
        <w:jc w:val="both"/>
        <w:rPr>
          <w:rFonts w:ascii="Arial" w:hAnsi="Arial" w:eastAsia="Times New Roman" w:cs="Arial"/>
          <w:sz w:val="24"/>
          <w:szCs w:val="24"/>
          <w:lang w:val="en-GB"/>
        </w:rPr>
      </w:pPr>
    </w:p>
    <w:p w:rsidRPr="00660C5D" w:rsidR="00153192" w:rsidP="00153192" w:rsidRDefault="00153192" w14:paraId="73187734"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Receive appropriate financial reports from the Chief Executive on a regular basis (including details of any virement undertaken) and provide as necessary guidance and recommendations to the Chief Executive and the Board.</w:t>
      </w:r>
    </w:p>
    <w:p w:rsidRPr="00660C5D" w:rsidR="00153192" w:rsidP="00153192" w:rsidRDefault="00153192" w14:paraId="0CA1EDBF"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3B2A6292" w14:textId="77777777">
      <w:pPr>
        <w:widowControl/>
        <w:numPr>
          <w:ilvl w:val="0"/>
          <w:numId w:val="8"/>
        </w:numPr>
        <w:autoSpaceDE/>
        <w:autoSpaceDN/>
        <w:ind w:right="851"/>
        <w:contextualSpacing/>
        <w:jc w:val="both"/>
        <w:rPr>
          <w:rFonts w:ascii="Arial" w:hAnsi="Arial" w:eastAsia="Times New Roman" w:cs="Arial"/>
          <w:sz w:val="24"/>
          <w:szCs w:val="24"/>
          <w:lang w:val="en-GB"/>
        </w:rPr>
      </w:pPr>
      <w:r w:rsidRPr="00660C5D">
        <w:rPr>
          <w:rFonts w:ascii="Arial" w:hAnsi="Arial" w:eastAsia="Times New Roman" w:cs="Arial"/>
          <w:sz w:val="24"/>
          <w:szCs w:val="24"/>
          <w:lang w:val="en-GB"/>
        </w:rPr>
        <w:t xml:space="preserve">Consider and review the Financial Regulations of the </w:t>
      </w:r>
      <w:r>
        <w:rPr>
          <w:rFonts w:ascii="Arial" w:hAnsi="Arial" w:eastAsia="Times New Roman" w:cs="Arial"/>
          <w:sz w:val="24"/>
          <w:szCs w:val="24"/>
          <w:lang w:val="en-GB"/>
        </w:rPr>
        <w:t>Group</w:t>
      </w:r>
      <w:r w:rsidRPr="00660C5D">
        <w:rPr>
          <w:rFonts w:ascii="Arial" w:hAnsi="Arial" w:eastAsia="Times New Roman" w:cs="Arial"/>
          <w:sz w:val="24"/>
          <w:szCs w:val="24"/>
          <w:lang w:val="en-GB"/>
        </w:rPr>
        <w:t xml:space="preserve"> and recommend changes to the Board for approval.</w:t>
      </w:r>
    </w:p>
    <w:p w:rsidRPr="00660C5D" w:rsidR="00153192" w:rsidP="00153192" w:rsidRDefault="00153192" w14:paraId="64145EFE"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7C8D1BF3" w14:textId="77777777">
      <w:pPr>
        <w:widowControl/>
        <w:numPr>
          <w:ilvl w:val="0"/>
          <w:numId w:val="8"/>
        </w:numPr>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To make recommendations to the Corporate Board regarding Resource related targets.</w:t>
      </w:r>
    </w:p>
    <w:p w:rsidRPr="00660C5D" w:rsidR="00153192" w:rsidP="00153192" w:rsidRDefault="00153192" w14:paraId="4C7625C6"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6B93F75E" w14:textId="77777777">
      <w:pPr>
        <w:widowControl/>
        <w:numPr>
          <w:ilvl w:val="0"/>
          <w:numId w:val="8"/>
        </w:numPr>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To make recommendations to the Board regarding Resources policies.</w:t>
      </w:r>
    </w:p>
    <w:p w:rsidRPr="00660C5D" w:rsidR="00153192" w:rsidP="00153192" w:rsidRDefault="00153192" w14:paraId="2685B435" w14:textId="77777777">
      <w:pPr>
        <w:widowControl/>
        <w:autoSpaceDE/>
        <w:autoSpaceDN/>
        <w:ind w:right="851"/>
        <w:jc w:val="both"/>
        <w:rPr>
          <w:rFonts w:ascii="Arial" w:hAnsi="Arial" w:eastAsia="Times New Roman" w:cs="Arial"/>
          <w:sz w:val="24"/>
          <w:szCs w:val="24"/>
          <w:lang w:val="en-GB"/>
        </w:rPr>
      </w:pPr>
    </w:p>
    <w:p w:rsidRPr="00660C5D" w:rsidR="00153192" w:rsidP="00153192" w:rsidRDefault="00153192" w14:paraId="725F0DD2" w14:textId="77777777">
      <w:pPr>
        <w:widowControl/>
        <w:numPr>
          <w:ilvl w:val="0"/>
          <w:numId w:val="8"/>
        </w:numPr>
        <w:autoSpaceDE/>
        <w:autoSpaceDN/>
        <w:ind w:right="851"/>
        <w:jc w:val="both"/>
        <w:rPr>
          <w:rFonts w:ascii="Arial" w:hAnsi="Arial" w:eastAsia="Times New Roman" w:cs="Arial"/>
          <w:sz w:val="24"/>
          <w:szCs w:val="24"/>
          <w:lang w:val="en-GB"/>
        </w:rPr>
      </w:pPr>
      <w:r w:rsidRPr="00660C5D">
        <w:rPr>
          <w:rFonts w:ascii="Arial" w:hAnsi="Arial" w:eastAsia="Times New Roman" w:cs="Arial"/>
          <w:sz w:val="24"/>
          <w:szCs w:val="24"/>
          <w:lang w:val="en-GB"/>
        </w:rPr>
        <w:t>To consider any item of a general nature not within the remit of the Board or any other Committee</w:t>
      </w:r>
    </w:p>
    <w:p w:rsidRPr="00660C5D" w:rsidR="00153192" w:rsidP="00153192" w:rsidRDefault="00153192" w14:paraId="43A236D0" w14:textId="77777777">
      <w:pPr>
        <w:widowControl/>
        <w:autoSpaceDE/>
        <w:autoSpaceDN/>
        <w:ind w:left="360" w:right="851"/>
        <w:jc w:val="both"/>
        <w:rPr>
          <w:rFonts w:ascii="Arial" w:hAnsi="Arial" w:eastAsia="Times New Roman" w:cs="Arial"/>
          <w:sz w:val="24"/>
          <w:szCs w:val="24"/>
          <w:lang w:val="en-GB"/>
        </w:rPr>
      </w:pPr>
    </w:p>
    <w:p w:rsidRPr="00660C5D" w:rsidR="00153192" w:rsidP="00153192" w:rsidRDefault="00153192" w14:paraId="411D976A" w14:textId="77777777">
      <w:pPr>
        <w:widowControl/>
        <w:autoSpaceDE/>
        <w:autoSpaceDN/>
        <w:ind w:right="851"/>
        <w:jc w:val="both"/>
        <w:rPr>
          <w:rFonts w:ascii="Arial" w:hAnsi="Arial" w:eastAsia="Times New Roman" w:cs="Arial"/>
          <w:sz w:val="24"/>
          <w:szCs w:val="24"/>
          <w:highlight w:val="yellow"/>
          <w:lang w:val="en-GB"/>
        </w:rPr>
      </w:pPr>
      <w:r w:rsidRPr="00660C5D">
        <w:rPr>
          <w:rFonts w:ascii="Arial" w:hAnsi="Arial" w:eastAsia="Times New Roman" w:cs="Arial"/>
          <w:b/>
          <w:sz w:val="24"/>
          <w:szCs w:val="24"/>
          <w:lang w:val="en-GB"/>
        </w:rPr>
        <w:t>Membership (2-5)</w:t>
      </w:r>
    </w:p>
    <w:p w:rsidRPr="00660C5D" w:rsidR="00153192" w:rsidP="00153192" w:rsidRDefault="00153192" w14:paraId="27468CC9" w14:textId="77777777">
      <w:pPr>
        <w:widowControl/>
        <w:autoSpaceDE/>
        <w:autoSpaceDN/>
        <w:ind w:right="851"/>
        <w:jc w:val="both"/>
        <w:rPr>
          <w:rFonts w:ascii="Arial" w:hAnsi="Arial" w:eastAsia="Times New Roman" w:cs="Arial"/>
          <w:b/>
          <w:sz w:val="24"/>
          <w:szCs w:val="24"/>
          <w:lang w:val="en-GB"/>
        </w:rPr>
      </w:pPr>
    </w:p>
    <w:p w:rsidRPr="00660C5D" w:rsidR="00153192" w:rsidP="00153192" w:rsidRDefault="00153192" w14:paraId="5893B53D" w14:textId="4196AC84">
      <w:pPr>
        <w:widowControl w:val="1"/>
        <w:autoSpaceDE/>
        <w:autoSpaceDN/>
        <w:ind w:right="851"/>
        <w:jc w:val="both"/>
        <w:rPr>
          <w:rFonts w:ascii="Arial" w:hAnsi="Arial" w:eastAsia="Times New Roman" w:cs="Arial"/>
          <w:sz w:val="24"/>
          <w:szCs w:val="24"/>
          <w:lang w:val="en-GB"/>
        </w:rPr>
      </w:pPr>
      <w:r w:rsidRPr="2DC751F0" w:rsidR="00153192">
        <w:rPr>
          <w:rFonts w:ascii="Arial" w:hAnsi="Arial" w:eastAsia="Times New Roman" w:cs="Arial"/>
          <w:b w:val="1"/>
          <w:bCs w:val="1"/>
          <w:sz w:val="24"/>
          <w:szCs w:val="24"/>
          <w:lang w:val="en-GB"/>
        </w:rPr>
        <w:t>Quorum:</w:t>
      </w:r>
      <w:r w:rsidRPr="2DC751F0" w:rsidR="00153192">
        <w:rPr>
          <w:rFonts w:ascii="Arial" w:hAnsi="Arial" w:eastAsia="Times New Roman" w:cs="Arial"/>
          <w:sz w:val="24"/>
          <w:szCs w:val="24"/>
          <w:lang w:val="en-GB"/>
        </w:rPr>
        <w:t xml:space="preserve"> </w:t>
      </w:r>
      <w:r w:rsidRPr="2DC751F0" w:rsidR="025829CC">
        <w:rPr>
          <w:rFonts w:ascii="Arial" w:hAnsi="Arial" w:eastAsia="Times New Roman" w:cs="Arial"/>
          <w:sz w:val="24"/>
          <w:szCs w:val="24"/>
          <w:lang w:val="en-GB"/>
        </w:rPr>
        <w:t>3</w:t>
      </w:r>
    </w:p>
    <w:p w:rsidRPr="00660C5D" w:rsidR="00153192" w:rsidP="00153192" w:rsidRDefault="00153192" w14:paraId="359CC42C" w14:textId="77777777">
      <w:pPr>
        <w:widowControl/>
        <w:autoSpaceDE/>
        <w:autoSpaceDN/>
        <w:ind w:right="851"/>
        <w:jc w:val="both"/>
        <w:rPr>
          <w:rFonts w:ascii="Arial" w:hAnsi="Arial" w:eastAsia="Times New Roman" w:cs="Arial"/>
          <w:b/>
          <w:sz w:val="24"/>
          <w:szCs w:val="24"/>
          <w:lang w:val="en-GB"/>
        </w:rPr>
      </w:pPr>
    </w:p>
    <w:p w:rsidR="00153192" w:rsidP="00153192" w:rsidRDefault="00153192" w14:paraId="5A1E8BBF" w14:textId="77777777">
      <w:pPr>
        <w:widowControl/>
        <w:autoSpaceDE/>
        <w:autoSpaceDN/>
        <w:ind w:right="851"/>
        <w:jc w:val="both"/>
        <w:rPr>
          <w:rFonts w:ascii="Arial" w:hAnsi="Arial" w:eastAsia="Times New Roman" w:cs="Arial"/>
          <w:sz w:val="24"/>
          <w:szCs w:val="24"/>
          <w:lang w:val="en-GB"/>
        </w:rPr>
      </w:pPr>
      <w:r w:rsidRPr="00660C5D">
        <w:rPr>
          <w:rFonts w:ascii="Arial" w:hAnsi="Arial" w:eastAsia="Times New Roman" w:cs="Arial"/>
          <w:b/>
          <w:sz w:val="24"/>
          <w:szCs w:val="24"/>
          <w:lang w:val="en-GB"/>
        </w:rPr>
        <w:t xml:space="preserve">Tenure:  </w:t>
      </w:r>
      <w:bookmarkStart w:name="_Hlk99970122" w:id="2"/>
      <w:r w:rsidRPr="00660C5D">
        <w:rPr>
          <w:rFonts w:ascii="Arial" w:hAnsi="Arial" w:eastAsia="Times New Roman" w:cs="Arial"/>
          <w:sz w:val="24"/>
          <w:szCs w:val="24"/>
          <w:lang w:val="en-GB"/>
        </w:rPr>
        <w:t>The term of role of Committee Chairs and Members to be four years or the end of their term of office as Governor. </w:t>
      </w:r>
    </w:p>
    <w:p w:rsidR="00153192" w:rsidP="00153192" w:rsidRDefault="00153192" w14:paraId="60E40E54" w14:textId="77777777">
      <w:pPr>
        <w:widowControl/>
        <w:autoSpaceDE/>
        <w:autoSpaceDN/>
        <w:ind w:right="851"/>
        <w:jc w:val="both"/>
        <w:rPr>
          <w:rFonts w:ascii="Arial" w:hAnsi="Arial" w:eastAsia="Times New Roman" w:cs="Arial"/>
          <w:sz w:val="24"/>
          <w:szCs w:val="24"/>
          <w:lang w:val="en-GB"/>
        </w:rPr>
      </w:pPr>
    </w:p>
    <w:bookmarkEnd w:id="2"/>
    <w:p w:rsidR="004222DA" w:rsidP="004222DA" w:rsidRDefault="004222DA" w14:paraId="560C1A4D" w14:textId="77777777">
      <w:pPr>
        <w:widowControl/>
        <w:autoSpaceDE/>
        <w:autoSpaceDN/>
        <w:spacing w:before="246" w:after="120" w:line="232" w:lineRule="auto"/>
        <w:ind w:right="851"/>
        <w:jc w:val="both"/>
        <w:rPr>
          <w:rFonts w:ascii="Arial" w:hAnsi="Arial" w:eastAsia="Times New Roman" w:cs="Arial"/>
          <w:sz w:val="24"/>
          <w:szCs w:val="24"/>
          <w:lang w:val="en-GB" w:eastAsia="en-GB"/>
        </w:rPr>
      </w:pPr>
    </w:p>
    <w:p w:rsidRPr="00660C5D" w:rsidR="00C3430E" w:rsidP="00DC3EB7" w:rsidRDefault="00C3430E" w14:paraId="3BCE40E0" w14:textId="77777777">
      <w:pPr>
        <w:widowControl/>
        <w:autoSpaceDE/>
        <w:autoSpaceDN/>
        <w:spacing w:before="246" w:after="120" w:line="232" w:lineRule="auto"/>
        <w:ind w:right="851"/>
        <w:jc w:val="both"/>
        <w:rPr>
          <w:rFonts w:ascii="Arial" w:hAnsi="Arial" w:eastAsia="Times New Roman" w:cs="Arial"/>
          <w:sz w:val="24"/>
          <w:szCs w:val="24"/>
          <w:lang w:val="en-GB" w:eastAsia="en-GB"/>
        </w:rPr>
      </w:pPr>
    </w:p>
    <w:sectPr w:rsidRPr="00660C5D" w:rsidR="00C3430E">
      <w:headerReference w:type="default" r:id="rId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90CA1" w:rsidP="00DC3EB7" w:rsidRDefault="00E90CA1" w14:paraId="599C51A3" w14:textId="77777777">
      <w:r>
        <w:separator/>
      </w:r>
    </w:p>
  </w:endnote>
  <w:endnote w:type="continuationSeparator" w:id="0">
    <w:p w:rsidR="00E90CA1" w:rsidP="00DC3EB7" w:rsidRDefault="00E90CA1" w14:paraId="32AC4EC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90CA1" w:rsidP="00DC3EB7" w:rsidRDefault="00E90CA1" w14:paraId="216432C7" w14:textId="77777777">
      <w:r>
        <w:separator/>
      </w:r>
    </w:p>
  </w:footnote>
  <w:footnote w:type="continuationSeparator" w:id="0">
    <w:p w:rsidR="00E90CA1" w:rsidP="00DC3EB7" w:rsidRDefault="00E90CA1" w14:paraId="47E46AC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Grid"/>
      <w:tblW w:w="0" w:type="auto"/>
      <w:tblLook w:val="04A0" w:firstRow="1" w:lastRow="0" w:firstColumn="1" w:lastColumn="0" w:noHBand="0" w:noVBand="1"/>
    </w:tblPr>
    <w:tblGrid>
      <w:gridCol w:w="2002"/>
      <w:gridCol w:w="5506"/>
      <w:gridCol w:w="1508"/>
    </w:tblGrid>
    <w:tr w:rsidR="00DC3EB7" w:rsidTr="00DC3EB7" w14:paraId="741DAB05" w14:textId="77777777">
      <w:tc>
        <w:tcPr>
          <w:tcW w:w="2002" w:type="dxa"/>
        </w:tcPr>
        <w:p w:rsidR="00DC3EB7" w:rsidP="00DC3EB7" w:rsidRDefault="00DC3EB7" w14:paraId="6EFE071F" w14:textId="2233A470">
          <w:pPr>
            <w:pStyle w:val="Header"/>
            <w:jc w:val="center"/>
            <w:rPr>
              <w:rFonts w:ascii="Arial" w:hAnsi="Arial" w:cs="Arial"/>
              <w:sz w:val="28"/>
              <w:szCs w:val="28"/>
            </w:rPr>
          </w:pPr>
          <w:r w:rsidRPr="00C84E32">
            <w:rPr>
              <w:noProof/>
            </w:rPr>
            <w:drawing>
              <wp:anchor distT="0" distB="0" distL="114300" distR="114300" simplePos="0" relativeHeight="251658240" behindDoc="0" locked="0" layoutInCell="1" allowOverlap="1" wp14:anchorId="36D808CB" wp14:editId="705E4E2A">
                <wp:simplePos x="0" y="0"/>
                <wp:positionH relativeFrom="margin">
                  <wp:posOffset>-51435</wp:posOffset>
                </wp:positionH>
                <wp:positionV relativeFrom="paragraph">
                  <wp:posOffset>28575</wp:posOffset>
                </wp:positionV>
                <wp:extent cx="1134110" cy="599419"/>
                <wp:effectExtent l="0" t="0" r="0" b="0"/>
                <wp:wrapSquare wrapText="bothSides"/>
                <wp:docPr id="35" name="Picture 35" descr="C:\Users\katie.lisle\AppData\Local\Microsoft\Windows\Temporary Internet Files\Content.Outlook\K1F98KHA\SWD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lisle\AppData\Local\Microsoft\Windows\Temporary Internet Files\Content.Outlook\K1F98KHA\SWDT 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4110" cy="599419"/>
                        </a:xfrm>
                        <a:prstGeom prst="rect">
                          <a:avLst/>
                        </a:prstGeom>
                        <a:noFill/>
                        <a:ln>
                          <a:noFill/>
                        </a:ln>
                      </pic:spPr>
                    </pic:pic>
                  </a:graphicData>
                </a:graphic>
              </wp:anchor>
            </w:drawing>
          </w:r>
        </w:p>
      </w:tc>
      <w:tc>
        <w:tcPr>
          <w:tcW w:w="5506" w:type="dxa"/>
        </w:tcPr>
        <w:p w:rsidR="00DC3EB7" w:rsidP="00DC3EB7" w:rsidRDefault="00DC3EB7" w14:paraId="76CE5857" w14:textId="77777777">
          <w:pPr>
            <w:pStyle w:val="Header"/>
            <w:jc w:val="center"/>
            <w:rPr>
              <w:rFonts w:ascii="Arial" w:hAnsi="Arial" w:cs="Arial"/>
              <w:sz w:val="28"/>
              <w:szCs w:val="28"/>
            </w:rPr>
          </w:pPr>
        </w:p>
        <w:p w:rsidR="00DC3EB7" w:rsidP="00DC3EB7" w:rsidRDefault="00DC3EB7" w14:paraId="489923B2" w14:textId="3810C7D0">
          <w:pPr>
            <w:pStyle w:val="Header"/>
            <w:jc w:val="center"/>
            <w:rPr>
              <w:rFonts w:ascii="Arial" w:hAnsi="Arial" w:cs="Arial"/>
              <w:sz w:val="28"/>
              <w:szCs w:val="28"/>
            </w:rPr>
          </w:pPr>
          <w:r>
            <w:rPr>
              <w:rFonts w:ascii="Arial" w:hAnsi="Arial" w:cs="Arial"/>
              <w:sz w:val="28"/>
              <w:szCs w:val="28"/>
            </w:rPr>
            <w:t>BISHOP AUCKLAND COLLEGE GROUP</w:t>
          </w:r>
        </w:p>
        <w:p w:rsidR="00DC3EB7" w:rsidP="00DC3EB7" w:rsidRDefault="00DC3EB7" w14:paraId="35FB3C3B" w14:textId="77777777">
          <w:pPr>
            <w:pStyle w:val="Header"/>
            <w:jc w:val="center"/>
            <w:rPr>
              <w:rFonts w:ascii="Arial" w:hAnsi="Arial" w:cs="Arial"/>
              <w:sz w:val="28"/>
              <w:szCs w:val="28"/>
            </w:rPr>
          </w:pPr>
          <w:r>
            <w:rPr>
              <w:rFonts w:ascii="Arial" w:hAnsi="Arial" w:cs="Arial"/>
              <w:sz w:val="28"/>
              <w:szCs w:val="28"/>
            </w:rPr>
            <w:t>CORPORATE BOARD</w:t>
          </w:r>
        </w:p>
        <w:p w:rsidR="00DC3EB7" w:rsidP="00DC3EB7" w:rsidRDefault="00DC3EB7" w14:paraId="6292844C" w14:textId="77777777">
          <w:pPr>
            <w:pStyle w:val="Header"/>
            <w:jc w:val="right"/>
            <w:rPr>
              <w:rFonts w:ascii="Arial" w:hAnsi="Arial" w:cs="Arial"/>
              <w:noProof/>
              <w:sz w:val="28"/>
              <w:szCs w:val="28"/>
            </w:rPr>
          </w:pPr>
        </w:p>
      </w:tc>
      <w:tc>
        <w:tcPr>
          <w:tcW w:w="1508" w:type="dxa"/>
        </w:tcPr>
        <w:p w:rsidR="00DC3EB7" w:rsidP="00DC3EB7" w:rsidRDefault="00DC3EB7" w14:paraId="22641245" w14:textId="2B9A8950">
          <w:pPr>
            <w:pStyle w:val="Header"/>
            <w:jc w:val="right"/>
            <w:rPr>
              <w:rFonts w:ascii="Arial" w:hAnsi="Arial" w:cs="Arial"/>
              <w:sz w:val="28"/>
              <w:szCs w:val="28"/>
            </w:rPr>
          </w:pPr>
          <w:r>
            <w:rPr>
              <w:rFonts w:ascii="Arial" w:hAnsi="Arial" w:cs="Arial"/>
              <w:noProof/>
              <w:sz w:val="28"/>
              <w:szCs w:val="28"/>
            </w:rPr>
            <w:drawing>
              <wp:inline distT="0" distB="0" distL="0" distR="0" wp14:anchorId="0C471F77" wp14:editId="1F8EDAEB">
                <wp:extent cx="666750" cy="67691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676910"/>
                        </a:xfrm>
                        <a:prstGeom prst="rect">
                          <a:avLst/>
                        </a:prstGeom>
                        <a:noFill/>
                      </pic:spPr>
                    </pic:pic>
                  </a:graphicData>
                </a:graphic>
              </wp:inline>
            </w:drawing>
          </w:r>
        </w:p>
      </w:tc>
    </w:tr>
  </w:tbl>
  <w:p w:rsidR="00DC3EB7" w:rsidP="00DC3EB7" w:rsidRDefault="00DC3EB7" w14:paraId="78DFBECC" w14:textId="7B834033">
    <w:pPr>
      <w:pStyle w:val="Header"/>
      <w:jc w:val="center"/>
    </w:pPr>
    <w:r>
      <w:rPr>
        <w:noProof/>
      </w:rPr>
      <w:drawing>
        <wp:inline distT="0" distB="0" distL="0" distR="0" wp14:anchorId="6A4F544B" wp14:editId="1E3C9FE7">
          <wp:extent cx="5878798" cy="780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2951" cy="10250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461A4"/>
    <w:multiLevelType w:val="hybridMultilevel"/>
    <w:tmpl w:val="75722C00"/>
    <w:lvl w:ilvl="0" w:tplc="7C24E70A">
      <w:start w:val="1"/>
      <w:numFmt w:val="lowerLetter"/>
      <w:lvlText w:val="%1."/>
      <w:lvlJc w:val="left"/>
      <w:pPr>
        <w:ind w:left="1440" w:hanging="360"/>
      </w:pPr>
      <w:rPr>
        <w:strike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33E061D7"/>
    <w:multiLevelType w:val="hybridMultilevel"/>
    <w:tmpl w:val="72E8BEA8"/>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E2AC937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4B666B0"/>
    <w:multiLevelType w:val="hybridMultilevel"/>
    <w:tmpl w:val="92F0A63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3E132DB"/>
    <w:multiLevelType w:val="hybridMultilevel"/>
    <w:tmpl w:val="93B890CC"/>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5DCD431B"/>
    <w:multiLevelType w:val="hybridMultilevel"/>
    <w:tmpl w:val="361AF484"/>
    <w:lvl w:ilvl="0" w:tplc="08090019">
      <w:start w:val="1"/>
      <w:numFmt w:val="lowerLetter"/>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0CE0524"/>
    <w:multiLevelType w:val="hybridMultilevel"/>
    <w:tmpl w:val="A77E382E"/>
    <w:lvl w:ilvl="0" w:tplc="0809000F">
      <w:start w:val="1"/>
      <w:numFmt w:val="decimal"/>
      <w:lvlText w:val="%1."/>
      <w:lvlJc w:val="left"/>
      <w:pPr>
        <w:ind w:left="-360" w:hanging="360"/>
      </w:pPr>
    </w:lvl>
    <w:lvl w:ilvl="1" w:tplc="0809000F">
      <w:start w:val="1"/>
      <w:numFmt w:val="decimal"/>
      <w:lvlText w:val="%2."/>
      <w:lvlJc w:val="left"/>
      <w:pPr>
        <w:ind w:left="360" w:hanging="360"/>
      </w:pPr>
    </w:lvl>
    <w:lvl w:ilvl="2" w:tplc="08090019">
      <w:start w:val="1"/>
      <w:numFmt w:val="lowerLetter"/>
      <w:lvlText w:val="%3."/>
      <w:lvlJc w:val="left"/>
      <w:pPr>
        <w:ind w:left="1080" w:hanging="180"/>
      </w:p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6" w15:restartNumberingAfterBreak="0">
    <w:nsid w:val="73543279"/>
    <w:multiLevelType w:val="hybridMultilevel"/>
    <w:tmpl w:val="6038A77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1C21B0"/>
    <w:multiLevelType w:val="hybridMultilevel"/>
    <w:tmpl w:val="E33646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0"/>
  </w:num>
  <w:num w:numId="5">
    <w:abstractNumId w:val="7"/>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EB7"/>
    <w:rsid w:val="00153192"/>
    <w:rsid w:val="00272C74"/>
    <w:rsid w:val="004222DA"/>
    <w:rsid w:val="00536A97"/>
    <w:rsid w:val="006047F0"/>
    <w:rsid w:val="00824816"/>
    <w:rsid w:val="00874124"/>
    <w:rsid w:val="00931BA6"/>
    <w:rsid w:val="009F751D"/>
    <w:rsid w:val="00AA3CE7"/>
    <w:rsid w:val="00BE4AAE"/>
    <w:rsid w:val="00C3430E"/>
    <w:rsid w:val="00DC3EB7"/>
    <w:rsid w:val="00E254CB"/>
    <w:rsid w:val="00E90CA1"/>
    <w:rsid w:val="00EF5CA5"/>
    <w:rsid w:val="00FB5B1D"/>
    <w:rsid w:val="025829CC"/>
    <w:rsid w:val="2062E7AF"/>
    <w:rsid w:val="2627156E"/>
    <w:rsid w:val="2DC751F0"/>
    <w:rsid w:val="3223C2CF"/>
    <w:rsid w:val="37612965"/>
    <w:rsid w:val="38B39AAC"/>
    <w:rsid w:val="69BBB9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D5D119"/>
  <w15:chartTrackingRefBased/>
  <w15:docId w15:val="{2551682E-74C3-41B7-8427-A1AA3459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C3EB7"/>
    <w:pPr>
      <w:widowControl w:val="0"/>
      <w:autoSpaceDE w:val="0"/>
      <w:autoSpaceDN w:val="0"/>
      <w:spacing w:after="0" w:line="240" w:lineRule="auto"/>
    </w:pPr>
    <w:rPr>
      <w:rFonts w:ascii="Calibri" w:hAnsi="Calibri" w:eastAsia="Calibri" w:cs="Calibri"/>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1"/>
    <w:qFormat/>
    <w:rsid w:val="00DC3EB7"/>
    <w:pPr>
      <w:spacing w:before="180"/>
      <w:ind w:left="919" w:hanging="361"/>
    </w:pPr>
  </w:style>
  <w:style w:type="paragraph" w:styleId="Header">
    <w:name w:val="header"/>
    <w:basedOn w:val="Normal"/>
    <w:link w:val="HeaderChar"/>
    <w:uiPriority w:val="99"/>
    <w:unhideWhenUsed/>
    <w:rsid w:val="00DC3EB7"/>
    <w:pPr>
      <w:tabs>
        <w:tab w:val="center" w:pos="4513"/>
        <w:tab w:val="right" w:pos="9026"/>
      </w:tabs>
    </w:pPr>
  </w:style>
  <w:style w:type="character" w:styleId="HeaderChar" w:customStyle="1">
    <w:name w:val="Header Char"/>
    <w:basedOn w:val="DefaultParagraphFont"/>
    <w:link w:val="Header"/>
    <w:uiPriority w:val="99"/>
    <w:rsid w:val="00DC3EB7"/>
    <w:rPr>
      <w:rFonts w:ascii="Calibri" w:hAnsi="Calibri" w:eastAsia="Calibri" w:cs="Calibri"/>
      <w:lang w:val="en-US"/>
    </w:rPr>
  </w:style>
  <w:style w:type="paragraph" w:styleId="Footer">
    <w:name w:val="footer"/>
    <w:basedOn w:val="Normal"/>
    <w:link w:val="FooterChar"/>
    <w:uiPriority w:val="99"/>
    <w:unhideWhenUsed/>
    <w:rsid w:val="00DC3EB7"/>
    <w:pPr>
      <w:tabs>
        <w:tab w:val="center" w:pos="4513"/>
        <w:tab w:val="right" w:pos="9026"/>
      </w:tabs>
    </w:pPr>
  </w:style>
  <w:style w:type="character" w:styleId="FooterChar" w:customStyle="1">
    <w:name w:val="Footer Char"/>
    <w:basedOn w:val="DefaultParagraphFont"/>
    <w:link w:val="Footer"/>
    <w:uiPriority w:val="99"/>
    <w:rsid w:val="00DC3EB7"/>
    <w:rPr>
      <w:rFonts w:ascii="Calibri" w:hAnsi="Calibri" w:eastAsia="Calibri" w:cs="Calibri"/>
      <w:lang w:val="en-US"/>
    </w:rPr>
  </w:style>
  <w:style w:type="table" w:styleId="TableGrid">
    <w:name w:val="Table Grid"/>
    <w:basedOn w:val="TableNormal"/>
    <w:uiPriority w:val="39"/>
    <w:rsid w:val="00DC3EB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Ann Robinson-Ruddock</dc:creator>
  <keywords/>
  <dc:description/>
  <lastModifiedBy>Marie Nigrelli</lastModifiedBy>
  <revision>7</revision>
  <dcterms:created xsi:type="dcterms:W3CDTF">2024-08-20T12:43:00.0000000Z</dcterms:created>
  <dcterms:modified xsi:type="dcterms:W3CDTF">2026-02-09T16:10:14.4802188Z</dcterms:modified>
</coreProperties>
</file>